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2957C" w14:textId="333CC45D" w:rsidR="008F3E0D" w:rsidRDefault="008F3E0D" w:rsidP="00444AE4">
      <w:pPr>
        <w:jc w:val="both"/>
        <w:rPr>
          <w:b/>
          <w:bCs/>
        </w:rPr>
      </w:pPr>
      <w:r>
        <w:rPr>
          <w:noProof/>
        </w:rPr>
        <w:drawing>
          <wp:anchor distT="0" distB="0" distL="114300" distR="114300" simplePos="0" relativeHeight="251659264" behindDoc="1" locked="0" layoutInCell="1" allowOverlap="1" wp14:anchorId="3D45F60F" wp14:editId="72A13C5C">
            <wp:simplePos x="0" y="0"/>
            <wp:positionH relativeFrom="margin">
              <wp:posOffset>-335280</wp:posOffset>
            </wp:positionH>
            <wp:positionV relativeFrom="page">
              <wp:posOffset>396240</wp:posOffset>
            </wp:positionV>
            <wp:extent cx="1493520" cy="765810"/>
            <wp:effectExtent l="0" t="0" r="0" b="0"/>
            <wp:wrapTight wrapText="bothSides">
              <wp:wrapPolygon edited="0">
                <wp:start x="0" y="0"/>
                <wp:lineTo x="0" y="20955"/>
                <wp:lineTo x="21214" y="20955"/>
                <wp:lineTo x="21214" y="0"/>
                <wp:lineTo x="0" y="0"/>
              </wp:wrapPolygon>
            </wp:wrapTight>
            <wp:docPr id="272419994"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19994" name="Picture 1" descr="A close-up of a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3520" cy="765810"/>
                    </a:xfrm>
                    <a:prstGeom prst="rect">
                      <a:avLst/>
                    </a:prstGeom>
                  </pic:spPr>
                </pic:pic>
              </a:graphicData>
            </a:graphic>
            <wp14:sizeRelH relativeFrom="page">
              <wp14:pctWidth>0</wp14:pctWidth>
            </wp14:sizeRelH>
            <wp14:sizeRelV relativeFrom="page">
              <wp14:pctHeight>0</wp14:pctHeight>
            </wp14:sizeRelV>
          </wp:anchor>
        </w:drawing>
      </w:r>
    </w:p>
    <w:p w14:paraId="4FAD37C2" w14:textId="77777777" w:rsidR="00253285" w:rsidRDefault="00253285" w:rsidP="00C87C83">
      <w:pPr>
        <w:jc w:val="both"/>
        <w:rPr>
          <w:b/>
          <w:bCs/>
        </w:rPr>
      </w:pPr>
    </w:p>
    <w:p w14:paraId="40D64B1F" w14:textId="4340EC69" w:rsidR="00C87C83" w:rsidRPr="00253285" w:rsidRDefault="00C87C83" w:rsidP="00C87C83">
      <w:pPr>
        <w:jc w:val="both"/>
      </w:pPr>
      <w:r w:rsidRPr="00444AE4">
        <w:rPr>
          <w:b/>
          <w:bCs/>
        </w:rPr>
        <w:t>Disclaimer</w:t>
      </w:r>
      <w:proofErr w:type="gramStart"/>
      <w:r w:rsidRPr="00444AE4">
        <w:rPr>
          <w:b/>
          <w:bCs/>
        </w:rPr>
        <w:t>:</w:t>
      </w:r>
      <w:r>
        <w:t xml:space="preserve">  </w:t>
      </w:r>
      <w:r w:rsidRPr="00444AE4">
        <w:t>The</w:t>
      </w:r>
      <w:proofErr w:type="gramEnd"/>
      <w:r w:rsidRPr="00444AE4">
        <w:t xml:space="preserve"> following provides answers to common questions related to charitable credits.  The responses below are for informational purposes only and should not be considered tax advice.  You should seek counsel from a tax professional to confirm how these credits may affect your personal tax situation.</w:t>
      </w:r>
    </w:p>
    <w:p w14:paraId="780CAB37" w14:textId="77777777" w:rsidR="00C87C83" w:rsidRPr="00A36701" w:rsidRDefault="00C87C83" w:rsidP="00C87C83">
      <w:pPr>
        <w:jc w:val="both"/>
        <w:rPr>
          <w:b/>
          <w:bCs/>
        </w:rPr>
      </w:pPr>
      <w:r w:rsidRPr="00A36701">
        <w:rPr>
          <w:b/>
          <w:bCs/>
        </w:rPr>
        <w:t>What charitable tax credits are available?</w:t>
      </w:r>
    </w:p>
    <w:p w14:paraId="19115DB6" w14:textId="1E7056CB" w:rsidR="00C87C83" w:rsidRDefault="00C87C83" w:rsidP="00C87C83">
      <w:pPr>
        <w:jc w:val="both"/>
      </w:pPr>
      <w:r>
        <w:t>Under Mississippi Law</w:t>
      </w:r>
      <w:r w:rsidR="00253285">
        <w:t>,</w:t>
      </w:r>
      <w:r>
        <w:t xml:space="preserve"> there are several tax credits available for gifts made by businesses and individuals to qualifying organizations.  The following table shows the various organization </w:t>
      </w:r>
      <w:r w:rsidR="00253285">
        <w:t>types</w:t>
      </w:r>
      <w:r>
        <w:t xml:space="preserve"> and which credits are available for each:</w:t>
      </w:r>
    </w:p>
    <w:tbl>
      <w:tblPr>
        <w:tblStyle w:val="TableGrid"/>
        <w:tblW w:w="0" w:type="auto"/>
        <w:tblLook w:val="04A0" w:firstRow="1" w:lastRow="0" w:firstColumn="1" w:lastColumn="0" w:noHBand="0" w:noVBand="1"/>
      </w:tblPr>
      <w:tblGrid>
        <w:gridCol w:w="5665"/>
        <w:gridCol w:w="1350"/>
        <w:gridCol w:w="1350"/>
      </w:tblGrid>
      <w:tr w:rsidR="00C87C83" w14:paraId="6E5DCF0E" w14:textId="77777777" w:rsidTr="00A66BB8">
        <w:tc>
          <w:tcPr>
            <w:tcW w:w="5665" w:type="dxa"/>
          </w:tcPr>
          <w:p w14:paraId="4A44C4FE" w14:textId="77777777" w:rsidR="00C87C83" w:rsidRPr="007E386F" w:rsidRDefault="00C87C83" w:rsidP="00A66BB8">
            <w:pPr>
              <w:jc w:val="both"/>
              <w:rPr>
                <w:rFonts w:ascii="Aptos" w:hAnsi="Aptos"/>
                <w:b/>
                <w:bCs/>
              </w:rPr>
            </w:pPr>
            <w:r>
              <w:rPr>
                <w:rFonts w:ascii="Aptos" w:hAnsi="Aptos"/>
                <w:b/>
                <w:bCs/>
              </w:rPr>
              <w:t>Types of Credits</w:t>
            </w:r>
          </w:p>
        </w:tc>
        <w:tc>
          <w:tcPr>
            <w:tcW w:w="1350" w:type="dxa"/>
          </w:tcPr>
          <w:p w14:paraId="4B460EC0" w14:textId="77777777" w:rsidR="00C87C83" w:rsidRPr="007E386F" w:rsidRDefault="00C87C83" w:rsidP="00A66BB8">
            <w:pPr>
              <w:jc w:val="both"/>
              <w:rPr>
                <w:rFonts w:ascii="Aptos" w:hAnsi="Aptos"/>
                <w:b/>
                <w:bCs/>
              </w:rPr>
            </w:pPr>
            <w:r w:rsidRPr="007E386F">
              <w:rPr>
                <w:rFonts w:ascii="Aptos" w:hAnsi="Aptos"/>
                <w:b/>
                <w:bCs/>
              </w:rPr>
              <w:t>Business Taxpayers</w:t>
            </w:r>
          </w:p>
        </w:tc>
        <w:tc>
          <w:tcPr>
            <w:tcW w:w="1350" w:type="dxa"/>
          </w:tcPr>
          <w:p w14:paraId="59B0CAB8" w14:textId="77777777" w:rsidR="00C87C83" w:rsidRPr="007E386F" w:rsidRDefault="00C87C83" w:rsidP="00A66BB8">
            <w:pPr>
              <w:jc w:val="both"/>
              <w:rPr>
                <w:rFonts w:ascii="Aptos" w:hAnsi="Aptos"/>
                <w:b/>
                <w:bCs/>
              </w:rPr>
            </w:pPr>
            <w:r w:rsidRPr="007E386F">
              <w:rPr>
                <w:rFonts w:ascii="Aptos" w:hAnsi="Aptos"/>
                <w:b/>
                <w:bCs/>
              </w:rPr>
              <w:t>Individual Taxpayers</w:t>
            </w:r>
          </w:p>
        </w:tc>
      </w:tr>
      <w:tr w:rsidR="00C87C83" w14:paraId="1DDD134F" w14:textId="77777777" w:rsidTr="00A66BB8">
        <w:tc>
          <w:tcPr>
            <w:tcW w:w="5665" w:type="dxa"/>
          </w:tcPr>
          <w:p w14:paraId="1FDD409A" w14:textId="77777777" w:rsidR="00C87C83" w:rsidRPr="00800D75" w:rsidRDefault="00C87C83" w:rsidP="00A66BB8">
            <w:pPr>
              <w:jc w:val="both"/>
              <w:rPr>
                <w:rFonts w:ascii="Aptos" w:hAnsi="Aptos"/>
              </w:rPr>
            </w:pPr>
            <w:r w:rsidRPr="00800D75">
              <w:rPr>
                <w:rFonts w:ascii="Aptos" w:hAnsi="Aptos"/>
              </w:rPr>
              <w:t>Eligible Charitable Organizations (</w:t>
            </w:r>
            <w:r w:rsidRPr="00800D75">
              <w:rPr>
                <w:rFonts w:ascii="Aptos" w:hAnsi="Aptos"/>
                <w:b/>
                <w:bCs/>
              </w:rPr>
              <w:t>ECO</w:t>
            </w:r>
            <w:r w:rsidRPr="00800D75">
              <w:rPr>
                <w:rFonts w:ascii="Aptos" w:hAnsi="Aptos"/>
              </w:rPr>
              <w:t>)</w:t>
            </w:r>
          </w:p>
        </w:tc>
        <w:tc>
          <w:tcPr>
            <w:tcW w:w="1350" w:type="dxa"/>
          </w:tcPr>
          <w:p w14:paraId="060418CF" w14:textId="77777777" w:rsidR="00C87C83" w:rsidRPr="007E386F" w:rsidRDefault="00C87C83" w:rsidP="00A66BB8">
            <w:pPr>
              <w:jc w:val="center"/>
              <w:rPr>
                <w:rFonts w:ascii="Aptos" w:hAnsi="Aptos"/>
                <w:b/>
                <w:bCs/>
              </w:rPr>
            </w:pPr>
            <w:r w:rsidRPr="007E386F">
              <w:rPr>
                <w:rFonts w:ascii="Aptos" w:hAnsi="Aptos"/>
                <w:b/>
                <w:bCs/>
              </w:rPr>
              <w:t>X</w:t>
            </w:r>
          </w:p>
        </w:tc>
        <w:tc>
          <w:tcPr>
            <w:tcW w:w="1350" w:type="dxa"/>
          </w:tcPr>
          <w:p w14:paraId="66386DE7" w14:textId="77777777" w:rsidR="00C87C83" w:rsidRPr="007E386F" w:rsidRDefault="00C87C83" w:rsidP="00A66BB8">
            <w:pPr>
              <w:jc w:val="center"/>
              <w:rPr>
                <w:rFonts w:ascii="Aptos" w:hAnsi="Aptos"/>
                <w:b/>
                <w:bCs/>
              </w:rPr>
            </w:pPr>
          </w:p>
        </w:tc>
      </w:tr>
      <w:tr w:rsidR="00C87C83" w14:paraId="7E29A5C6" w14:textId="77777777" w:rsidTr="00A66BB8">
        <w:tc>
          <w:tcPr>
            <w:tcW w:w="5665" w:type="dxa"/>
          </w:tcPr>
          <w:p w14:paraId="453A6FC0" w14:textId="77777777" w:rsidR="00C87C83" w:rsidRPr="00800D75" w:rsidRDefault="00C87C83" w:rsidP="00A66BB8">
            <w:pPr>
              <w:jc w:val="both"/>
              <w:rPr>
                <w:rFonts w:ascii="Aptos" w:hAnsi="Aptos"/>
              </w:rPr>
            </w:pPr>
            <w:r w:rsidRPr="00800D75">
              <w:rPr>
                <w:rFonts w:ascii="Aptos" w:hAnsi="Aptos"/>
              </w:rPr>
              <w:t>Pregnancy Resource Charitable Organizations (</w:t>
            </w:r>
            <w:r w:rsidRPr="00800D75">
              <w:rPr>
                <w:rFonts w:ascii="Aptos" w:hAnsi="Aptos"/>
                <w:b/>
                <w:bCs/>
              </w:rPr>
              <w:t>PRCO</w:t>
            </w:r>
            <w:r w:rsidRPr="00800D75">
              <w:rPr>
                <w:rFonts w:ascii="Aptos" w:hAnsi="Aptos"/>
              </w:rPr>
              <w:t>)</w:t>
            </w:r>
          </w:p>
        </w:tc>
        <w:tc>
          <w:tcPr>
            <w:tcW w:w="1350" w:type="dxa"/>
          </w:tcPr>
          <w:p w14:paraId="6DDDFF79" w14:textId="77777777" w:rsidR="00C87C83" w:rsidRPr="007E386F" w:rsidRDefault="00C87C83" w:rsidP="00A66BB8">
            <w:pPr>
              <w:jc w:val="center"/>
              <w:rPr>
                <w:rFonts w:ascii="Aptos" w:hAnsi="Aptos"/>
                <w:b/>
                <w:bCs/>
              </w:rPr>
            </w:pPr>
            <w:r w:rsidRPr="007E386F">
              <w:rPr>
                <w:rFonts w:ascii="Aptos" w:hAnsi="Aptos"/>
                <w:b/>
                <w:bCs/>
              </w:rPr>
              <w:t>X</w:t>
            </w:r>
          </w:p>
        </w:tc>
        <w:tc>
          <w:tcPr>
            <w:tcW w:w="1350" w:type="dxa"/>
          </w:tcPr>
          <w:p w14:paraId="789EC648" w14:textId="62BE6431" w:rsidR="00C87C83" w:rsidRPr="007E386F" w:rsidRDefault="00B951AD" w:rsidP="00A66BB8">
            <w:pPr>
              <w:jc w:val="center"/>
              <w:rPr>
                <w:rFonts w:ascii="Aptos" w:hAnsi="Aptos"/>
                <w:b/>
                <w:bCs/>
              </w:rPr>
            </w:pPr>
            <w:r>
              <w:rPr>
                <w:rFonts w:ascii="Aptos" w:hAnsi="Aptos"/>
                <w:b/>
                <w:bCs/>
              </w:rPr>
              <w:t>X</w:t>
            </w:r>
          </w:p>
        </w:tc>
      </w:tr>
      <w:tr w:rsidR="00C87C83" w14:paraId="48D2EC64" w14:textId="77777777" w:rsidTr="00A66BB8">
        <w:tc>
          <w:tcPr>
            <w:tcW w:w="5665" w:type="dxa"/>
          </w:tcPr>
          <w:p w14:paraId="1EC9933E" w14:textId="77777777" w:rsidR="00C87C83" w:rsidRPr="00800D75" w:rsidRDefault="00C87C83" w:rsidP="00A66BB8">
            <w:pPr>
              <w:jc w:val="both"/>
              <w:rPr>
                <w:rFonts w:ascii="Aptos" w:hAnsi="Aptos"/>
              </w:rPr>
            </w:pPr>
            <w:r w:rsidRPr="00800D75">
              <w:rPr>
                <w:rFonts w:ascii="Aptos" w:hAnsi="Aptos"/>
              </w:rPr>
              <w:t>Eligible Transitional Home Organizations (</w:t>
            </w:r>
            <w:r w:rsidRPr="00800D75">
              <w:rPr>
                <w:rFonts w:ascii="Aptos" w:hAnsi="Aptos"/>
                <w:b/>
                <w:bCs/>
              </w:rPr>
              <w:t>ETHO</w:t>
            </w:r>
            <w:r w:rsidRPr="00800D75">
              <w:rPr>
                <w:rFonts w:ascii="Aptos" w:hAnsi="Aptos"/>
              </w:rPr>
              <w:t>)</w:t>
            </w:r>
          </w:p>
        </w:tc>
        <w:tc>
          <w:tcPr>
            <w:tcW w:w="1350" w:type="dxa"/>
          </w:tcPr>
          <w:p w14:paraId="3622842C" w14:textId="77777777" w:rsidR="00C87C83" w:rsidRPr="007E386F" w:rsidRDefault="00C87C83" w:rsidP="00A66BB8">
            <w:pPr>
              <w:jc w:val="center"/>
              <w:rPr>
                <w:rFonts w:ascii="Aptos" w:hAnsi="Aptos"/>
                <w:b/>
                <w:bCs/>
              </w:rPr>
            </w:pPr>
            <w:r w:rsidRPr="007E386F">
              <w:rPr>
                <w:rFonts w:ascii="Aptos" w:hAnsi="Aptos"/>
                <w:b/>
                <w:bCs/>
              </w:rPr>
              <w:t>X</w:t>
            </w:r>
          </w:p>
        </w:tc>
        <w:tc>
          <w:tcPr>
            <w:tcW w:w="1350" w:type="dxa"/>
          </w:tcPr>
          <w:p w14:paraId="65354CDF" w14:textId="77777777" w:rsidR="00C87C83" w:rsidRPr="007E386F" w:rsidRDefault="00C87C83" w:rsidP="00A66BB8">
            <w:pPr>
              <w:jc w:val="center"/>
              <w:rPr>
                <w:rFonts w:ascii="Aptos" w:hAnsi="Aptos"/>
                <w:b/>
                <w:bCs/>
              </w:rPr>
            </w:pPr>
            <w:r w:rsidRPr="007E386F">
              <w:rPr>
                <w:rFonts w:ascii="Aptos" w:hAnsi="Aptos"/>
                <w:b/>
                <w:bCs/>
              </w:rPr>
              <w:t>X</w:t>
            </w:r>
          </w:p>
        </w:tc>
      </w:tr>
      <w:tr w:rsidR="00C87C83" w14:paraId="61F7257F" w14:textId="77777777" w:rsidTr="00A66BB8">
        <w:tc>
          <w:tcPr>
            <w:tcW w:w="5665" w:type="dxa"/>
          </w:tcPr>
          <w:p w14:paraId="5EC388F3" w14:textId="77777777" w:rsidR="00C87C83" w:rsidRPr="00800D75" w:rsidRDefault="00C87C83" w:rsidP="00A66BB8">
            <w:pPr>
              <w:jc w:val="both"/>
              <w:rPr>
                <w:rFonts w:ascii="Aptos" w:hAnsi="Aptos"/>
              </w:rPr>
            </w:pPr>
            <w:r w:rsidRPr="00800D75">
              <w:rPr>
                <w:rFonts w:ascii="Aptos" w:hAnsi="Aptos"/>
              </w:rPr>
              <w:t>Educational Services Charitable Organizations (</w:t>
            </w:r>
            <w:r w:rsidRPr="00800D75">
              <w:rPr>
                <w:rFonts w:ascii="Aptos" w:hAnsi="Aptos"/>
                <w:b/>
                <w:bCs/>
              </w:rPr>
              <w:t>ESCO</w:t>
            </w:r>
            <w:r w:rsidRPr="00800D75">
              <w:rPr>
                <w:rFonts w:ascii="Aptos" w:hAnsi="Aptos"/>
              </w:rPr>
              <w:t>)</w:t>
            </w:r>
          </w:p>
        </w:tc>
        <w:tc>
          <w:tcPr>
            <w:tcW w:w="1350" w:type="dxa"/>
          </w:tcPr>
          <w:p w14:paraId="0E69BD34" w14:textId="77777777" w:rsidR="00C87C83" w:rsidRPr="007E386F" w:rsidRDefault="00C87C83" w:rsidP="00A66BB8">
            <w:pPr>
              <w:jc w:val="center"/>
              <w:rPr>
                <w:rFonts w:ascii="Aptos" w:hAnsi="Aptos"/>
                <w:b/>
                <w:bCs/>
              </w:rPr>
            </w:pPr>
            <w:r w:rsidRPr="007E386F">
              <w:rPr>
                <w:rFonts w:ascii="Aptos" w:hAnsi="Aptos"/>
                <w:b/>
                <w:bCs/>
              </w:rPr>
              <w:t>X</w:t>
            </w:r>
          </w:p>
        </w:tc>
        <w:tc>
          <w:tcPr>
            <w:tcW w:w="1350" w:type="dxa"/>
          </w:tcPr>
          <w:p w14:paraId="098C2F16" w14:textId="77777777" w:rsidR="00C87C83" w:rsidRPr="007E386F" w:rsidRDefault="00C87C83" w:rsidP="00A66BB8">
            <w:pPr>
              <w:jc w:val="center"/>
              <w:rPr>
                <w:rFonts w:ascii="Aptos" w:hAnsi="Aptos"/>
                <w:b/>
                <w:bCs/>
              </w:rPr>
            </w:pPr>
          </w:p>
        </w:tc>
      </w:tr>
      <w:tr w:rsidR="00C87C83" w14:paraId="620E5A64" w14:textId="77777777" w:rsidTr="00A66BB8">
        <w:tc>
          <w:tcPr>
            <w:tcW w:w="5665" w:type="dxa"/>
          </w:tcPr>
          <w:p w14:paraId="6166766A" w14:textId="77777777" w:rsidR="00C87C83" w:rsidRPr="00800D75" w:rsidRDefault="00C87C83" w:rsidP="00A66BB8">
            <w:pPr>
              <w:jc w:val="both"/>
              <w:rPr>
                <w:rFonts w:ascii="Aptos" w:hAnsi="Aptos"/>
              </w:rPr>
            </w:pPr>
            <w:r w:rsidRPr="00800D75">
              <w:rPr>
                <w:rFonts w:ascii="Aptos" w:hAnsi="Aptos"/>
              </w:rPr>
              <w:t>Eligible Health Care Organizations (</w:t>
            </w:r>
            <w:r w:rsidRPr="00800D75">
              <w:rPr>
                <w:rFonts w:ascii="Aptos" w:hAnsi="Aptos"/>
                <w:b/>
                <w:bCs/>
              </w:rPr>
              <w:t>EHCO</w:t>
            </w:r>
            <w:r w:rsidRPr="00800D75">
              <w:rPr>
                <w:rFonts w:ascii="Aptos" w:hAnsi="Aptos"/>
              </w:rPr>
              <w:t>)</w:t>
            </w:r>
          </w:p>
        </w:tc>
        <w:tc>
          <w:tcPr>
            <w:tcW w:w="1350" w:type="dxa"/>
          </w:tcPr>
          <w:p w14:paraId="32D9B552" w14:textId="77777777" w:rsidR="00C87C83" w:rsidRPr="007E386F" w:rsidRDefault="00C87C83" w:rsidP="00A66BB8">
            <w:pPr>
              <w:jc w:val="center"/>
              <w:rPr>
                <w:rFonts w:ascii="Aptos" w:hAnsi="Aptos"/>
                <w:b/>
                <w:bCs/>
              </w:rPr>
            </w:pPr>
            <w:r w:rsidRPr="007E386F">
              <w:rPr>
                <w:rFonts w:ascii="Aptos" w:hAnsi="Aptos"/>
                <w:b/>
                <w:bCs/>
              </w:rPr>
              <w:t>X</w:t>
            </w:r>
          </w:p>
        </w:tc>
        <w:tc>
          <w:tcPr>
            <w:tcW w:w="1350" w:type="dxa"/>
          </w:tcPr>
          <w:p w14:paraId="650DEB72" w14:textId="77777777" w:rsidR="00C87C83" w:rsidRPr="007E386F" w:rsidRDefault="00C87C83" w:rsidP="00A66BB8">
            <w:pPr>
              <w:jc w:val="center"/>
              <w:rPr>
                <w:rFonts w:ascii="Aptos" w:hAnsi="Aptos"/>
                <w:b/>
                <w:bCs/>
              </w:rPr>
            </w:pPr>
            <w:r w:rsidRPr="007E386F">
              <w:rPr>
                <w:rFonts w:ascii="Aptos" w:hAnsi="Aptos"/>
                <w:b/>
                <w:bCs/>
              </w:rPr>
              <w:t>X</w:t>
            </w:r>
          </w:p>
        </w:tc>
      </w:tr>
      <w:tr w:rsidR="00C87C83" w14:paraId="21E6A28B" w14:textId="77777777" w:rsidTr="00A66BB8">
        <w:tc>
          <w:tcPr>
            <w:tcW w:w="5665" w:type="dxa"/>
          </w:tcPr>
          <w:p w14:paraId="5BAE9055" w14:textId="77777777" w:rsidR="00C87C83" w:rsidRPr="00800D75" w:rsidRDefault="00C87C83" w:rsidP="00A66BB8">
            <w:pPr>
              <w:jc w:val="both"/>
              <w:rPr>
                <w:rFonts w:ascii="Aptos" w:hAnsi="Aptos"/>
              </w:rPr>
            </w:pPr>
            <w:r w:rsidRPr="00800D75">
              <w:rPr>
                <w:rFonts w:ascii="Aptos" w:hAnsi="Aptos"/>
              </w:rPr>
              <w:t>Food Bank Charitable Organizations (</w:t>
            </w:r>
            <w:r w:rsidRPr="00800D75">
              <w:rPr>
                <w:rFonts w:ascii="Aptos" w:hAnsi="Aptos"/>
                <w:b/>
                <w:bCs/>
              </w:rPr>
              <w:t>FBCO</w:t>
            </w:r>
            <w:r w:rsidRPr="00800D75">
              <w:rPr>
                <w:rFonts w:ascii="Aptos" w:hAnsi="Aptos"/>
              </w:rPr>
              <w:t>)</w:t>
            </w:r>
          </w:p>
        </w:tc>
        <w:tc>
          <w:tcPr>
            <w:tcW w:w="1350" w:type="dxa"/>
          </w:tcPr>
          <w:p w14:paraId="52E3FD32" w14:textId="77777777" w:rsidR="00C87C83" w:rsidRPr="007E386F" w:rsidRDefault="00C87C83" w:rsidP="00A66BB8">
            <w:pPr>
              <w:jc w:val="center"/>
              <w:rPr>
                <w:rFonts w:ascii="Aptos" w:hAnsi="Aptos"/>
                <w:b/>
                <w:bCs/>
              </w:rPr>
            </w:pPr>
            <w:r w:rsidRPr="007E386F">
              <w:rPr>
                <w:rFonts w:ascii="Aptos" w:hAnsi="Aptos"/>
                <w:b/>
                <w:bCs/>
              </w:rPr>
              <w:t>X</w:t>
            </w:r>
          </w:p>
        </w:tc>
        <w:tc>
          <w:tcPr>
            <w:tcW w:w="1350" w:type="dxa"/>
          </w:tcPr>
          <w:p w14:paraId="0F754BB9" w14:textId="77777777" w:rsidR="00C87C83" w:rsidRPr="007E386F" w:rsidRDefault="00C87C83" w:rsidP="00A66BB8">
            <w:pPr>
              <w:jc w:val="center"/>
              <w:rPr>
                <w:rFonts w:ascii="Aptos" w:hAnsi="Aptos"/>
                <w:b/>
                <w:bCs/>
              </w:rPr>
            </w:pPr>
          </w:p>
        </w:tc>
      </w:tr>
      <w:tr w:rsidR="00C87C83" w14:paraId="29733E8E" w14:textId="77777777" w:rsidTr="00A66BB8">
        <w:tc>
          <w:tcPr>
            <w:tcW w:w="5665" w:type="dxa"/>
          </w:tcPr>
          <w:p w14:paraId="27F67A07" w14:textId="77777777" w:rsidR="00C87C83" w:rsidRPr="00800D75" w:rsidRDefault="00C87C83" w:rsidP="00A66BB8">
            <w:pPr>
              <w:jc w:val="both"/>
              <w:rPr>
                <w:rFonts w:ascii="Aptos" w:hAnsi="Aptos"/>
              </w:rPr>
            </w:pPr>
            <w:r w:rsidRPr="00800D75">
              <w:rPr>
                <w:rFonts w:ascii="Aptos" w:hAnsi="Aptos"/>
              </w:rPr>
              <w:t>Qualifying Charitable Organizations (</w:t>
            </w:r>
            <w:r w:rsidRPr="00800D75">
              <w:rPr>
                <w:rFonts w:ascii="Aptos" w:hAnsi="Aptos"/>
                <w:b/>
                <w:bCs/>
              </w:rPr>
              <w:t>QCO</w:t>
            </w:r>
            <w:r w:rsidRPr="00800D75">
              <w:rPr>
                <w:rFonts w:ascii="Aptos" w:hAnsi="Aptos"/>
              </w:rPr>
              <w:t>)</w:t>
            </w:r>
          </w:p>
        </w:tc>
        <w:tc>
          <w:tcPr>
            <w:tcW w:w="1350" w:type="dxa"/>
          </w:tcPr>
          <w:p w14:paraId="35B4159E" w14:textId="77777777" w:rsidR="00C87C83" w:rsidRPr="007E386F" w:rsidRDefault="00C87C83" w:rsidP="00A66BB8">
            <w:pPr>
              <w:jc w:val="center"/>
              <w:rPr>
                <w:rFonts w:ascii="Aptos" w:hAnsi="Aptos"/>
                <w:b/>
                <w:bCs/>
              </w:rPr>
            </w:pPr>
          </w:p>
        </w:tc>
        <w:tc>
          <w:tcPr>
            <w:tcW w:w="1350" w:type="dxa"/>
          </w:tcPr>
          <w:p w14:paraId="58AE1548" w14:textId="1F964414" w:rsidR="00C87C83" w:rsidRPr="007E386F" w:rsidRDefault="00B951AD" w:rsidP="00A66BB8">
            <w:pPr>
              <w:jc w:val="center"/>
              <w:rPr>
                <w:rFonts w:ascii="Aptos" w:hAnsi="Aptos"/>
                <w:b/>
                <w:bCs/>
              </w:rPr>
            </w:pPr>
            <w:r>
              <w:rPr>
                <w:rFonts w:ascii="Aptos" w:hAnsi="Aptos"/>
                <w:b/>
                <w:bCs/>
              </w:rPr>
              <w:t>X</w:t>
            </w:r>
          </w:p>
        </w:tc>
      </w:tr>
      <w:tr w:rsidR="00C87C83" w14:paraId="2589E226" w14:textId="77777777" w:rsidTr="00A66BB8">
        <w:tc>
          <w:tcPr>
            <w:tcW w:w="5665" w:type="dxa"/>
          </w:tcPr>
          <w:p w14:paraId="4533876E" w14:textId="77777777" w:rsidR="00C87C83" w:rsidRPr="00800D75" w:rsidRDefault="00C87C83" w:rsidP="00A66BB8">
            <w:pPr>
              <w:jc w:val="both"/>
              <w:rPr>
                <w:rFonts w:ascii="Aptos" w:hAnsi="Aptos"/>
              </w:rPr>
            </w:pPr>
            <w:r w:rsidRPr="00800D75">
              <w:rPr>
                <w:rFonts w:ascii="Aptos" w:hAnsi="Aptos"/>
              </w:rPr>
              <w:t>Qualifying Foster Care Charitable Organizations (</w:t>
            </w:r>
            <w:r w:rsidRPr="00800D75">
              <w:rPr>
                <w:rFonts w:ascii="Aptos" w:hAnsi="Aptos"/>
                <w:b/>
                <w:bCs/>
              </w:rPr>
              <w:t>QFCCO</w:t>
            </w:r>
            <w:r w:rsidRPr="00800D75">
              <w:rPr>
                <w:rFonts w:ascii="Aptos" w:hAnsi="Aptos"/>
              </w:rPr>
              <w:t>)</w:t>
            </w:r>
          </w:p>
        </w:tc>
        <w:tc>
          <w:tcPr>
            <w:tcW w:w="1350" w:type="dxa"/>
          </w:tcPr>
          <w:p w14:paraId="64DF697D" w14:textId="77777777" w:rsidR="00C87C83" w:rsidRPr="007E386F" w:rsidRDefault="00C87C83" w:rsidP="00A66BB8">
            <w:pPr>
              <w:jc w:val="center"/>
              <w:rPr>
                <w:rFonts w:ascii="Aptos" w:hAnsi="Aptos"/>
                <w:b/>
                <w:bCs/>
              </w:rPr>
            </w:pPr>
          </w:p>
        </w:tc>
        <w:tc>
          <w:tcPr>
            <w:tcW w:w="1350" w:type="dxa"/>
          </w:tcPr>
          <w:p w14:paraId="69DEDB24" w14:textId="77777777" w:rsidR="00C87C83" w:rsidRPr="007E386F" w:rsidRDefault="00C87C83" w:rsidP="00A66BB8">
            <w:pPr>
              <w:jc w:val="center"/>
              <w:rPr>
                <w:rFonts w:ascii="Aptos" w:hAnsi="Aptos"/>
                <w:b/>
                <w:bCs/>
              </w:rPr>
            </w:pPr>
            <w:r w:rsidRPr="007E386F">
              <w:rPr>
                <w:rFonts w:ascii="Aptos" w:hAnsi="Aptos"/>
                <w:b/>
                <w:bCs/>
              </w:rPr>
              <w:t>X</w:t>
            </w:r>
          </w:p>
        </w:tc>
      </w:tr>
    </w:tbl>
    <w:p w14:paraId="35B59F20" w14:textId="77777777" w:rsidR="00C87C83" w:rsidRDefault="00C87C83" w:rsidP="00C87C83">
      <w:pPr>
        <w:jc w:val="both"/>
      </w:pPr>
    </w:p>
    <w:p w14:paraId="13A667DE" w14:textId="3D1390FF" w:rsidR="00C87C83" w:rsidRPr="001320F5" w:rsidRDefault="00C87C83" w:rsidP="00C87C83">
      <w:pPr>
        <w:jc w:val="both"/>
        <w:rPr>
          <w:b/>
          <w:bCs/>
        </w:rPr>
      </w:pPr>
      <w:r w:rsidRPr="001320F5">
        <w:rPr>
          <w:b/>
          <w:bCs/>
        </w:rPr>
        <w:t>Which charitable tax credits apply to the Center for Pregnancy Choices</w:t>
      </w:r>
      <w:r>
        <w:rPr>
          <w:b/>
          <w:bCs/>
        </w:rPr>
        <w:t xml:space="preserve"> Metro</w:t>
      </w:r>
      <w:r w:rsidRPr="001320F5">
        <w:rPr>
          <w:b/>
          <w:bCs/>
        </w:rPr>
        <w:t xml:space="preserve"> (CPC</w:t>
      </w:r>
      <w:r>
        <w:rPr>
          <w:b/>
          <w:bCs/>
        </w:rPr>
        <w:t xml:space="preserve"> Metro</w:t>
      </w:r>
      <w:r w:rsidRPr="001320F5">
        <w:rPr>
          <w:b/>
          <w:bCs/>
        </w:rPr>
        <w:t>)</w:t>
      </w:r>
      <w:r>
        <w:rPr>
          <w:b/>
          <w:bCs/>
        </w:rPr>
        <w:t>?</w:t>
      </w:r>
    </w:p>
    <w:p w14:paraId="70321E2E" w14:textId="75141C80" w:rsidR="00C87C83" w:rsidRPr="00253285" w:rsidRDefault="00C87C83" w:rsidP="00C87C83">
      <w:pPr>
        <w:jc w:val="both"/>
      </w:pPr>
      <w:r>
        <w:t>CPC Metro qualifies as a PRCO for purposes of the business tax credits</w:t>
      </w:r>
      <w:r w:rsidR="00B951AD">
        <w:t xml:space="preserve"> </w:t>
      </w:r>
      <w:r>
        <w:t>and for purposes of the individual credits.</w:t>
      </w:r>
    </w:p>
    <w:p w14:paraId="4DBCBC60" w14:textId="77777777" w:rsidR="00C87C83" w:rsidRPr="00AB4B12" w:rsidRDefault="00C87C83" w:rsidP="00C87C83">
      <w:pPr>
        <w:jc w:val="both"/>
        <w:rPr>
          <w:b/>
          <w:bCs/>
        </w:rPr>
      </w:pPr>
      <w:r w:rsidRPr="00AB4B12">
        <w:rPr>
          <w:b/>
          <w:bCs/>
        </w:rPr>
        <w:t>What are the limitations on the use of the credits?</w:t>
      </w:r>
    </w:p>
    <w:p w14:paraId="5C939DD8" w14:textId="6040DC1E" w:rsidR="00C87C83" w:rsidRDefault="00C87C83" w:rsidP="00C87C83">
      <w:pPr>
        <w:jc w:val="both"/>
      </w:pPr>
      <w:r>
        <w:t xml:space="preserve">Credits available for gifts to different types of organizations are governed by separate legislation, and each is subject to different limitations and may be used to offset certain types of tax. Additionally, </w:t>
      </w:r>
      <w:r w:rsidRPr="00BF0952">
        <w:t>t</w:t>
      </w:r>
      <w:r w:rsidRPr="009D0202">
        <w:t>he</w:t>
      </w:r>
      <w:r w:rsidRPr="00BF0952">
        <w:t xml:space="preserve"> </w:t>
      </w:r>
      <w:r w:rsidRPr="009D0202">
        <w:t xml:space="preserve">limitations </w:t>
      </w:r>
      <w:r>
        <w:t>are different for business taxpayers and individual taxpayers.</w:t>
      </w:r>
    </w:p>
    <w:p w14:paraId="12BBF3EC" w14:textId="6C2B32E7" w:rsidR="00253285" w:rsidRPr="00B951AD" w:rsidRDefault="00C87C83" w:rsidP="00B951AD">
      <w:pPr>
        <w:jc w:val="both"/>
      </w:pPr>
      <w:r>
        <w:t>Businesses</w:t>
      </w:r>
      <w:r w:rsidR="00805482">
        <w:t xml:space="preserve"> and individuals</w:t>
      </w:r>
      <w:r>
        <w:t xml:space="preserve"> can </w:t>
      </w:r>
      <w:proofErr w:type="gramStart"/>
      <w:r>
        <w:t>apply</w:t>
      </w:r>
      <w:proofErr w:type="gramEnd"/>
      <w:r>
        <w:t xml:space="preserve"> the credits up to 50% of their eligible tax liability for the PRCO credit. This credit can be applied against income tax, insurance premium tax, insurance premium retaliatory tax, and ad valorem tax assessed on real property.</w:t>
      </w:r>
    </w:p>
    <w:p w14:paraId="63B379A8" w14:textId="77777777" w:rsidR="00253285" w:rsidRDefault="00253285">
      <w:pPr>
        <w:rPr>
          <w:b/>
          <w:bCs/>
        </w:rPr>
      </w:pPr>
      <w:r>
        <w:rPr>
          <w:b/>
          <w:bCs/>
        </w:rPr>
        <w:br w:type="page"/>
      </w:r>
    </w:p>
    <w:p w14:paraId="61CB919A" w14:textId="4F895CA1" w:rsidR="00C87C83" w:rsidRPr="00511A1D" w:rsidRDefault="00C87C83" w:rsidP="00C87C83">
      <w:pPr>
        <w:jc w:val="both"/>
        <w:rPr>
          <w:b/>
          <w:bCs/>
        </w:rPr>
      </w:pPr>
      <w:r w:rsidRPr="00511A1D">
        <w:rPr>
          <w:b/>
          <w:bCs/>
        </w:rPr>
        <w:lastRenderedPageBreak/>
        <w:t>Can I take advantage of more than one credit?</w:t>
      </w:r>
    </w:p>
    <w:p w14:paraId="599DB9E1" w14:textId="77777777" w:rsidR="00C87C83" w:rsidRDefault="00C87C83" w:rsidP="00C87C83">
      <w:pPr>
        <w:jc w:val="both"/>
      </w:pPr>
      <w:r>
        <w:t>Yes. If you are an owner in a pass-through entity (partnership or S corporation), you may take advantage of both the business credits and individual credits.  Additionally, the business and individual credits are also “stackable”.  This means that although certain credits are limited to 50% of a taxpayer’s Mississippi tax liability, certain credits can be paired with other credits to offset up to 100% of your Mississippi tax liability, provided you do not exceed the limits applicable to each separate credit.</w:t>
      </w:r>
    </w:p>
    <w:p w14:paraId="12F0CD06" w14:textId="77777777" w:rsidR="00C87C83" w:rsidRDefault="00C87C83" w:rsidP="00C87C83">
      <w:pPr>
        <w:spacing w:line="240" w:lineRule="auto"/>
        <w:jc w:val="both"/>
        <w:rPr>
          <w:rFonts w:ascii="Aptos" w:hAnsi="Aptos"/>
        </w:rPr>
      </w:pPr>
      <w:r w:rsidRPr="00444AE4">
        <w:rPr>
          <w:rFonts w:ascii="Aptos" w:hAnsi="Aptos"/>
        </w:rPr>
        <w:t xml:space="preserve">The following tables show a few </w:t>
      </w:r>
      <w:r>
        <w:rPr>
          <w:rFonts w:ascii="Aptos" w:hAnsi="Aptos"/>
        </w:rPr>
        <w:t xml:space="preserve">possible </w:t>
      </w:r>
      <w:r w:rsidRPr="00444AE4">
        <w:rPr>
          <w:rFonts w:ascii="Aptos" w:hAnsi="Aptos"/>
        </w:rPr>
        <w:t xml:space="preserve">ways that charitable credits may be stacked to offset up to 100% of </w:t>
      </w:r>
      <w:r>
        <w:rPr>
          <w:rFonts w:ascii="Aptos" w:hAnsi="Aptos"/>
        </w:rPr>
        <w:t>your Mississippi</w:t>
      </w:r>
      <w:r w:rsidRPr="00444AE4">
        <w:rPr>
          <w:rFonts w:ascii="Aptos" w:hAnsi="Aptos"/>
        </w:rPr>
        <w:t xml:space="preserve"> tax liability</w:t>
      </w:r>
      <w:r>
        <w:rPr>
          <w:rFonts w:ascii="Aptos" w:hAnsi="Aptos"/>
        </w:rPr>
        <w:t>. See the example below using $1,000 of tax liability for business taxpayers:</w:t>
      </w:r>
    </w:p>
    <w:tbl>
      <w:tblPr>
        <w:tblStyle w:val="TableGrid"/>
        <w:tblW w:w="0" w:type="auto"/>
        <w:tblLook w:val="04A0" w:firstRow="1" w:lastRow="0" w:firstColumn="1" w:lastColumn="0" w:noHBand="0" w:noVBand="1"/>
      </w:tblPr>
      <w:tblGrid>
        <w:gridCol w:w="2425"/>
        <w:gridCol w:w="1350"/>
        <w:gridCol w:w="1350"/>
        <w:gridCol w:w="1350"/>
      </w:tblGrid>
      <w:tr w:rsidR="00C87C83" w14:paraId="170AF5FA" w14:textId="77777777" w:rsidTr="00A66BB8">
        <w:tc>
          <w:tcPr>
            <w:tcW w:w="2425" w:type="dxa"/>
          </w:tcPr>
          <w:p w14:paraId="3AF62251" w14:textId="77777777" w:rsidR="00C87C83" w:rsidRPr="007E386F" w:rsidRDefault="00C87C83" w:rsidP="00A66BB8">
            <w:pPr>
              <w:jc w:val="both"/>
              <w:rPr>
                <w:rFonts w:ascii="Aptos" w:hAnsi="Aptos"/>
                <w:b/>
                <w:bCs/>
              </w:rPr>
            </w:pPr>
            <w:r>
              <w:rPr>
                <w:rFonts w:ascii="Aptos" w:hAnsi="Aptos"/>
                <w:b/>
                <w:bCs/>
              </w:rPr>
              <w:t>Business Taxpayers</w:t>
            </w:r>
          </w:p>
        </w:tc>
        <w:tc>
          <w:tcPr>
            <w:tcW w:w="1350" w:type="dxa"/>
          </w:tcPr>
          <w:p w14:paraId="0F8F4DAD" w14:textId="77777777" w:rsidR="00C87C83" w:rsidRPr="007E386F" w:rsidRDefault="00C87C83" w:rsidP="00A66BB8">
            <w:pPr>
              <w:jc w:val="both"/>
              <w:rPr>
                <w:rFonts w:ascii="Aptos" w:hAnsi="Aptos"/>
                <w:b/>
                <w:bCs/>
              </w:rPr>
            </w:pPr>
            <w:r>
              <w:rPr>
                <w:rFonts w:ascii="Aptos" w:hAnsi="Aptos"/>
                <w:b/>
                <w:bCs/>
              </w:rPr>
              <w:t>ECO</w:t>
            </w:r>
          </w:p>
        </w:tc>
        <w:tc>
          <w:tcPr>
            <w:tcW w:w="1350" w:type="dxa"/>
          </w:tcPr>
          <w:p w14:paraId="07A3ADEF" w14:textId="77777777" w:rsidR="00C87C83" w:rsidRPr="007E386F" w:rsidRDefault="00C87C83" w:rsidP="00A66BB8">
            <w:pPr>
              <w:jc w:val="both"/>
              <w:rPr>
                <w:rFonts w:ascii="Aptos" w:hAnsi="Aptos"/>
                <w:b/>
                <w:bCs/>
              </w:rPr>
            </w:pPr>
            <w:r>
              <w:rPr>
                <w:rFonts w:ascii="Aptos" w:hAnsi="Aptos"/>
                <w:b/>
                <w:bCs/>
              </w:rPr>
              <w:t>PRCO</w:t>
            </w:r>
          </w:p>
        </w:tc>
        <w:tc>
          <w:tcPr>
            <w:tcW w:w="1350" w:type="dxa"/>
          </w:tcPr>
          <w:p w14:paraId="2D545343" w14:textId="77777777" w:rsidR="00C87C83" w:rsidRPr="007E386F" w:rsidRDefault="00C87C83" w:rsidP="00A66BB8">
            <w:pPr>
              <w:jc w:val="both"/>
              <w:rPr>
                <w:rFonts w:ascii="Aptos" w:hAnsi="Aptos"/>
                <w:b/>
                <w:bCs/>
              </w:rPr>
            </w:pPr>
            <w:r>
              <w:rPr>
                <w:rFonts w:ascii="Aptos" w:hAnsi="Aptos"/>
                <w:b/>
                <w:bCs/>
              </w:rPr>
              <w:t>ETHO</w:t>
            </w:r>
          </w:p>
        </w:tc>
      </w:tr>
      <w:tr w:rsidR="00C87C83" w14:paraId="0D032012" w14:textId="77777777" w:rsidTr="00A66BB8">
        <w:tc>
          <w:tcPr>
            <w:tcW w:w="2425" w:type="dxa"/>
          </w:tcPr>
          <w:p w14:paraId="1A8B39FC" w14:textId="77777777" w:rsidR="00C87C83" w:rsidRPr="00800D75" w:rsidRDefault="00C87C83" w:rsidP="00A66BB8">
            <w:pPr>
              <w:jc w:val="both"/>
              <w:rPr>
                <w:rFonts w:ascii="Aptos" w:hAnsi="Aptos"/>
              </w:rPr>
            </w:pPr>
            <w:r>
              <w:rPr>
                <w:rFonts w:ascii="Aptos" w:hAnsi="Aptos"/>
              </w:rPr>
              <w:t>Scenario 1</w:t>
            </w:r>
          </w:p>
        </w:tc>
        <w:tc>
          <w:tcPr>
            <w:tcW w:w="1350" w:type="dxa"/>
          </w:tcPr>
          <w:p w14:paraId="6A3C3AEE" w14:textId="77777777" w:rsidR="00C87C83" w:rsidRPr="007E386F" w:rsidRDefault="00C87C83" w:rsidP="00A66BB8">
            <w:pPr>
              <w:jc w:val="both"/>
              <w:rPr>
                <w:rFonts w:ascii="Aptos" w:hAnsi="Aptos"/>
                <w:b/>
                <w:bCs/>
              </w:rPr>
            </w:pPr>
            <w:r>
              <w:rPr>
                <w:rFonts w:ascii="Aptos" w:hAnsi="Aptos"/>
                <w:b/>
                <w:bCs/>
              </w:rPr>
              <w:t>$500 (50%)</w:t>
            </w:r>
          </w:p>
        </w:tc>
        <w:tc>
          <w:tcPr>
            <w:tcW w:w="1350" w:type="dxa"/>
          </w:tcPr>
          <w:p w14:paraId="23ADBA1E" w14:textId="77777777" w:rsidR="00C87C83" w:rsidRPr="007E386F" w:rsidRDefault="00C87C83" w:rsidP="00A66BB8">
            <w:pPr>
              <w:jc w:val="both"/>
              <w:rPr>
                <w:rFonts w:ascii="Aptos" w:hAnsi="Aptos"/>
                <w:b/>
                <w:bCs/>
              </w:rPr>
            </w:pPr>
            <w:r>
              <w:rPr>
                <w:rFonts w:ascii="Aptos" w:hAnsi="Aptos"/>
                <w:b/>
                <w:bCs/>
              </w:rPr>
              <w:t>$500 (50%)</w:t>
            </w:r>
          </w:p>
        </w:tc>
        <w:tc>
          <w:tcPr>
            <w:tcW w:w="1350" w:type="dxa"/>
          </w:tcPr>
          <w:p w14:paraId="5AC9DBD3" w14:textId="77777777" w:rsidR="00C87C83" w:rsidRPr="007E386F" w:rsidRDefault="00C87C83" w:rsidP="00A66BB8">
            <w:pPr>
              <w:jc w:val="both"/>
              <w:rPr>
                <w:rFonts w:ascii="Aptos" w:hAnsi="Aptos"/>
                <w:b/>
                <w:bCs/>
              </w:rPr>
            </w:pPr>
          </w:p>
        </w:tc>
      </w:tr>
      <w:tr w:rsidR="00C87C83" w14:paraId="7B5425F6" w14:textId="77777777" w:rsidTr="00A66BB8">
        <w:tc>
          <w:tcPr>
            <w:tcW w:w="2425" w:type="dxa"/>
          </w:tcPr>
          <w:p w14:paraId="4BF21407" w14:textId="77777777" w:rsidR="00C87C83" w:rsidRPr="00800D75" w:rsidRDefault="00C87C83" w:rsidP="00A66BB8">
            <w:pPr>
              <w:jc w:val="both"/>
              <w:rPr>
                <w:rFonts w:ascii="Aptos" w:hAnsi="Aptos"/>
              </w:rPr>
            </w:pPr>
            <w:r>
              <w:rPr>
                <w:rFonts w:ascii="Aptos" w:hAnsi="Aptos"/>
              </w:rPr>
              <w:t>Scenario 2</w:t>
            </w:r>
          </w:p>
        </w:tc>
        <w:tc>
          <w:tcPr>
            <w:tcW w:w="1350" w:type="dxa"/>
          </w:tcPr>
          <w:p w14:paraId="20F720F1" w14:textId="77777777" w:rsidR="00C87C83" w:rsidRPr="007E386F" w:rsidRDefault="00C87C83" w:rsidP="00A66BB8">
            <w:pPr>
              <w:jc w:val="both"/>
              <w:rPr>
                <w:rFonts w:ascii="Aptos" w:hAnsi="Aptos"/>
                <w:b/>
                <w:bCs/>
              </w:rPr>
            </w:pPr>
          </w:p>
        </w:tc>
        <w:tc>
          <w:tcPr>
            <w:tcW w:w="1350" w:type="dxa"/>
          </w:tcPr>
          <w:p w14:paraId="43B79392" w14:textId="77777777" w:rsidR="00C87C83" w:rsidRPr="007E386F" w:rsidRDefault="00C87C83" w:rsidP="00A66BB8">
            <w:pPr>
              <w:jc w:val="both"/>
              <w:rPr>
                <w:rFonts w:ascii="Aptos" w:hAnsi="Aptos"/>
                <w:b/>
                <w:bCs/>
              </w:rPr>
            </w:pPr>
            <w:r>
              <w:rPr>
                <w:rFonts w:ascii="Aptos" w:hAnsi="Aptos"/>
                <w:b/>
                <w:bCs/>
              </w:rPr>
              <w:t>$500 (50%)</w:t>
            </w:r>
          </w:p>
        </w:tc>
        <w:tc>
          <w:tcPr>
            <w:tcW w:w="1350" w:type="dxa"/>
          </w:tcPr>
          <w:p w14:paraId="74A50F98" w14:textId="77777777" w:rsidR="00C87C83" w:rsidRPr="007E386F" w:rsidRDefault="00C87C83" w:rsidP="00A66BB8">
            <w:pPr>
              <w:jc w:val="both"/>
              <w:rPr>
                <w:rFonts w:ascii="Aptos" w:hAnsi="Aptos"/>
                <w:b/>
                <w:bCs/>
              </w:rPr>
            </w:pPr>
            <w:r>
              <w:rPr>
                <w:rFonts w:ascii="Aptos" w:hAnsi="Aptos"/>
                <w:b/>
                <w:bCs/>
              </w:rPr>
              <w:t>$500 (50%)</w:t>
            </w:r>
          </w:p>
        </w:tc>
      </w:tr>
      <w:tr w:rsidR="00C87C83" w14:paraId="622BC036" w14:textId="77777777" w:rsidTr="00A66BB8">
        <w:tc>
          <w:tcPr>
            <w:tcW w:w="2425" w:type="dxa"/>
          </w:tcPr>
          <w:p w14:paraId="6641565C" w14:textId="77777777" w:rsidR="00C87C83" w:rsidRPr="00800D75" w:rsidRDefault="00C87C83" w:rsidP="00A66BB8">
            <w:pPr>
              <w:jc w:val="both"/>
              <w:rPr>
                <w:rFonts w:ascii="Aptos" w:hAnsi="Aptos"/>
              </w:rPr>
            </w:pPr>
            <w:r>
              <w:rPr>
                <w:rFonts w:ascii="Aptos" w:hAnsi="Aptos"/>
              </w:rPr>
              <w:t>Scenario 3</w:t>
            </w:r>
          </w:p>
        </w:tc>
        <w:tc>
          <w:tcPr>
            <w:tcW w:w="1350" w:type="dxa"/>
          </w:tcPr>
          <w:p w14:paraId="739AFB55" w14:textId="77777777" w:rsidR="00C87C83" w:rsidRPr="007E386F" w:rsidRDefault="00C87C83" w:rsidP="00A66BB8">
            <w:pPr>
              <w:jc w:val="both"/>
              <w:rPr>
                <w:rFonts w:ascii="Aptos" w:hAnsi="Aptos"/>
                <w:b/>
                <w:bCs/>
              </w:rPr>
            </w:pPr>
            <w:r>
              <w:rPr>
                <w:rFonts w:ascii="Aptos" w:hAnsi="Aptos"/>
                <w:b/>
                <w:bCs/>
              </w:rPr>
              <w:t>$500 (50%)</w:t>
            </w:r>
          </w:p>
        </w:tc>
        <w:tc>
          <w:tcPr>
            <w:tcW w:w="1350" w:type="dxa"/>
          </w:tcPr>
          <w:p w14:paraId="1BA8EC02" w14:textId="77777777" w:rsidR="00C87C83" w:rsidRPr="007E386F" w:rsidRDefault="00C87C83" w:rsidP="00A66BB8">
            <w:pPr>
              <w:jc w:val="both"/>
              <w:rPr>
                <w:rFonts w:ascii="Aptos" w:hAnsi="Aptos"/>
                <w:b/>
                <w:bCs/>
              </w:rPr>
            </w:pPr>
          </w:p>
        </w:tc>
        <w:tc>
          <w:tcPr>
            <w:tcW w:w="1350" w:type="dxa"/>
          </w:tcPr>
          <w:p w14:paraId="3A72D395" w14:textId="77777777" w:rsidR="00C87C83" w:rsidRPr="007E386F" w:rsidRDefault="00C87C83" w:rsidP="00A66BB8">
            <w:pPr>
              <w:jc w:val="both"/>
              <w:rPr>
                <w:rFonts w:ascii="Aptos" w:hAnsi="Aptos"/>
                <w:b/>
                <w:bCs/>
              </w:rPr>
            </w:pPr>
            <w:r>
              <w:rPr>
                <w:rFonts w:ascii="Aptos" w:hAnsi="Aptos"/>
                <w:b/>
                <w:bCs/>
              </w:rPr>
              <w:t>$500 (50%)</w:t>
            </w:r>
          </w:p>
        </w:tc>
      </w:tr>
      <w:tr w:rsidR="00C87C83" w14:paraId="523FD983" w14:textId="77777777" w:rsidTr="00A66BB8">
        <w:tc>
          <w:tcPr>
            <w:tcW w:w="2425" w:type="dxa"/>
          </w:tcPr>
          <w:p w14:paraId="4379C397" w14:textId="77777777" w:rsidR="00C87C83" w:rsidRDefault="00C87C83" w:rsidP="00A66BB8">
            <w:pPr>
              <w:jc w:val="both"/>
              <w:rPr>
                <w:rFonts w:ascii="Aptos" w:hAnsi="Aptos"/>
              </w:rPr>
            </w:pPr>
            <w:r>
              <w:rPr>
                <w:rFonts w:ascii="Aptos" w:hAnsi="Aptos"/>
              </w:rPr>
              <w:t>Scenario 4</w:t>
            </w:r>
          </w:p>
        </w:tc>
        <w:tc>
          <w:tcPr>
            <w:tcW w:w="1350" w:type="dxa"/>
          </w:tcPr>
          <w:p w14:paraId="315147E1" w14:textId="77777777" w:rsidR="00C87C83" w:rsidRDefault="00C87C83" w:rsidP="00A66BB8">
            <w:pPr>
              <w:jc w:val="both"/>
              <w:rPr>
                <w:rFonts w:ascii="Aptos" w:hAnsi="Aptos"/>
                <w:b/>
                <w:bCs/>
              </w:rPr>
            </w:pPr>
            <w:r>
              <w:rPr>
                <w:rFonts w:ascii="Aptos" w:hAnsi="Aptos"/>
                <w:b/>
                <w:bCs/>
              </w:rPr>
              <w:t>$200 (20%)</w:t>
            </w:r>
          </w:p>
        </w:tc>
        <w:tc>
          <w:tcPr>
            <w:tcW w:w="1350" w:type="dxa"/>
          </w:tcPr>
          <w:p w14:paraId="163F5C48" w14:textId="77777777" w:rsidR="00C87C83" w:rsidRPr="007E386F" w:rsidRDefault="00C87C83" w:rsidP="00A66BB8">
            <w:pPr>
              <w:jc w:val="both"/>
              <w:rPr>
                <w:rFonts w:ascii="Aptos" w:hAnsi="Aptos"/>
                <w:b/>
                <w:bCs/>
              </w:rPr>
            </w:pPr>
            <w:r>
              <w:rPr>
                <w:rFonts w:ascii="Aptos" w:hAnsi="Aptos"/>
                <w:b/>
                <w:bCs/>
              </w:rPr>
              <w:t>$300 (30%)</w:t>
            </w:r>
          </w:p>
        </w:tc>
        <w:tc>
          <w:tcPr>
            <w:tcW w:w="1350" w:type="dxa"/>
          </w:tcPr>
          <w:p w14:paraId="17C3EBF5" w14:textId="77777777" w:rsidR="00C87C83" w:rsidRDefault="00C87C83" w:rsidP="00A66BB8">
            <w:pPr>
              <w:jc w:val="both"/>
              <w:rPr>
                <w:rFonts w:ascii="Aptos" w:hAnsi="Aptos"/>
                <w:b/>
                <w:bCs/>
              </w:rPr>
            </w:pPr>
            <w:r>
              <w:rPr>
                <w:rFonts w:ascii="Aptos" w:hAnsi="Aptos"/>
                <w:b/>
                <w:bCs/>
              </w:rPr>
              <w:t>$500 (50%)</w:t>
            </w:r>
          </w:p>
        </w:tc>
      </w:tr>
    </w:tbl>
    <w:p w14:paraId="768869AD" w14:textId="77777777" w:rsidR="00C87C83" w:rsidRDefault="00C87C83" w:rsidP="00C87C83"/>
    <w:p w14:paraId="5D004E78" w14:textId="774F14D1" w:rsidR="00C87C83" w:rsidRPr="00253285" w:rsidRDefault="00C87C83" w:rsidP="00253285">
      <w:pPr>
        <w:jc w:val="both"/>
      </w:pPr>
      <w:r>
        <w:t>If you are a business owner taking advantage of business credits, you are also able to secure individual credits that can be used in conjunction with the business credits to offset your individual tax liability. These individual credits may also be stacked.  For example, if you file your return as single or head of household, you could potentially stack credits of up to $1,200 for gifts to QCOs with credits of up to $1,500 for gifts to QFCCOs.  If you file your return as married filing jointly, you can stack credits of up to $2,400 for gifts to QCOs with credits of up to $3,000 for gifts to QFCCOs.  In addition to stacking these credits, you can also potentially take advantage of credits for gifts to ETHOs up to 50% of your tax liability. While these credits can be</w:t>
      </w:r>
      <w:r w:rsidR="00253285">
        <w:t xml:space="preserve"> </w:t>
      </w:r>
      <w:r>
        <w:t xml:space="preserve">used in conjunction with the business credits, it is important to note that the individual credits related to gifts to ETHOs may be limited if you are already taking advantage of stacking provisions on business credits described above. It is important to discuss the </w:t>
      </w:r>
      <w:r w:rsidR="00253285">
        <w:t>interplay</w:t>
      </w:r>
      <w:r>
        <w:t xml:space="preserve"> of these credits with your tax preparer or CPA to ensure you receive the maximum benefit from stacking credits.</w:t>
      </w:r>
    </w:p>
    <w:p w14:paraId="6FCF31F3" w14:textId="77777777" w:rsidR="00C87C83" w:rsidRDefault="00C87C83" w:rsidP="00C87C83">
      <w:pPr>
        <w:rPr>
          <w:b/>
          <w:bCs/>
        </w:rPr>
      </w:pPr>
      <w:r>
        <w:rPr>
          <w:b/>
          <w:bCs/>
        </w:rPr>
        <w:t>Can I still take advantage of</w:t>
      </w:r>
      <w:r w:rsidRPr="00884552">
        <w:rPr>
          <w:b/>
          <w:bCs/>
        </w:rPr>
        <w:t xml:space="preserve"> </w:t>
      </w:r>
      <w:r>
        <w:rPr>
          <w:b/>
          <w:bCs/>
        </w:rPr>
        <w:t xml:space="preserve">charitable </w:t>
      </w:r>
      <w:r w:rsidRPr="00884552">
        <w:rPr>
          <w:b/>
          <w:bCs/>
        </w:rPr>
        <w:t xml:space="preserve">credits for </w:t>
      </w:r>
      <w:r>
        <w:rPr>
          <w:b/>
          <w:bCs/>
        </w:rPr>
        <w:t>the current tax year</w:t>
      </w:r>
      <w:r w:rsidRPr="00884552">
        <w:rPr>
          <w:b/>
          <w:bCs/>
        </w:rPr>
        <w:t>?</w:t>
      </w:r>
    </w:p>
    <w:p w14:paraId="7ABC27BE" w14:textId="69DFD546" w:rsidR="00C87C83" w:rsidRDefault="00C87C83" w:rsidP="00C87C83">
      <w:pPr>
        <w:jc w:val="both"/>
      </w:pPr>
      <w:r>
        <w:t xml:space="preserve">Yes, provided certain requirements are met. You may take advantage of charitable credits in a given tax year as long as the contribution to the charitable organization is made during tax year for which you intended to claim the credit, and you have received an allocation of credits from the Mississippi Department of Revenue.  The credit allocation does not have to be obtained prior to the gift, but gifts made in advance of receiving confirmation of credit allocation are not eligible for the tax credit until the credit allocation is confirmed. </w:t>
      </w:r>
    </w:p>
    <w:p w14:paraId="1F4D9697" w14:textId="77777777" w:rsidR="00C87C83" w:rsidRDefault="00C87C83" w:rsidP="00C87C83">
      <w:pPr>
        <w:jc w:val="both"/>
      </w:pPr>
      <w:r>
        <w:t>If you would like to determine if credits are still available for allocation, please contact the Mississippi Department of Revenue (MDOR) to inquire about the availability of these credits at (601) 923-7192.</w:t>
      </w:r>
    </w:p>
    <w:p w14:paraId="7E96EE5A" w14:textId="77777777" w:rsidR="00C87C83" w:rsidRDefault="00C87C83" w:rsidP="00C87C83">
      <w:pPr>
        <w:jc w:val="both"/>
        <w:rPr>
          <w:b/>
          <w:bCs/>
        </w:rPr>
      </w:pPr>
    </w:p>
    <w:p w14:paraId="7F42E82E" w14:textId="77777777" w:rsidR="00C87C83" w:rsidRDefault="00C87C83" w:rsidP="00C87C83">
      <w:pPr>
        <w:jc w:val="both"/>
        <w:rPr>
          <w:b/>
          <w:bCs/>
        </w:rPr>
      </w:pPr>
      <w:r>
        <w:rPr>
          <w:b/>
          <w:bCs/>
        </w:rPr>
        <w:lastRenderedPageBreak/>
        <w:t>What do I do if I have already paid in some, or all, of my taxes through withholdings or estimate payments and want to claim credits for 2024?</w:t>
      </w:r>
    </w:p>
    <w:p w14:paraId="4CFDEB2B" w14:textId="2FDEA09F" w:rsidR="00C87C83" w:rsidRPr="00253285" w:rsidRDefault="00C87C83" w:rsidP="00C87C83">
      <w:pPr>
        <w:jc w:val="both"/>
      </w:pPr>
      <w:r>
        <w:t xml:space="preserve">Securing charitable credits requires both application for and approval of the credit allocation by MDOR and subsequent donation of funds to an eligible charity. If you have already paid in some or </w:t>
      </w:r>
      <w:proofErr w:type="gramStart"/>
      <w:r>
        <w:t>all of</w:t>
      </w:r>
      <w:proofErr w:type="gramEnd"/>
      <w:r>
        <w:t xml:space="preserve"> your taxes for 2024 and wish to secure credits for tax year 2024, you must make the required charitable contribution to a qualifying organization in addition to the tax payments previously made.  Any resulting overpayment of tax can be refunded to you when you file your individual tax return with the state of Mississippi.  If your tax payments are made via quarterly estimated payments, you may adjust your remaining tax payments for the balance of the year to compensate for the charitable gift and associated credit.</w:t>
      </w:r>
      <w:r w:rsidRPr="00646854">
        <w:t xml:space="preserve"> </w:t>
      </w:r>
    </w:p>
    <w:p w14:paraId="4433BCF8" w14:textId="77777777" w:rsidR="00C87C83" w:rsidRPr="00646854" w:rsidRDefault="00C87C83" w:rsidP="00C87C83">
      <w:pPr>
        <w:jc w:val="both"/>
      </w:pPr>
      <w:r>
        <w:rPr>
          <w:b/>
          <w:bCs/>
        </w:rPr>
        <w:t xml:space="preserve">My business takes advantage of the </w:t>
      </w:r>
      <w:r w:rsidRPr="00646854">
        <w:rPr>
          <w:b/>
          <w:bCs/>
        </w:rPr>
        <w:t>Pass</w:t>
      </w:r>
      <w:r>
        <w:rPr>
          <w:b/>
          <w:bCs/>
        </w:rPr>
        <w:t>-</w:t>
      </w:r>
      <w:r w:rsidRPr="00646854">
        <w:rPr>
          <w:b/>
          <w:bCs/>
        </w:rPr>
        <w:t xml:space="preserve">Through Entity (PTE) </w:t>
      </w:r>
      <w:r>
        <w:rPr>
          <w:b/>
          <w:bCs/>
        </w:rPr>
        <w:t>Tax.  How does this impact my ability to tax advantage of the charitable credits?</w:t>
      </w:r>
      <w:r w:rsidRPr="00646854">
        <w:t xml:space="preserve"> </w:t>
      </w:r>
    </w:p>
    <w:p w14:paraId="0FE54299" w14:textId="1C9D56D1" w:rsidR="00C87C83" w:rsidRDefault="00C87C83" w:rsidP="00C87C83">
      <w:pPr>
        <w:spacing w:line="240" w:lineRule="auto"/>
        <w:jc w:val="both"/>
      </w:pPr>
      <w:r>
        <w:t xml:space="preserve">If you are an owner in a pass-through entity that has elected to pay the Pass-Through Entity (PTE) Tax, you still may take advantage of the charitable credits available to businesses.  Businesses who elect to pay PTE must pay tax on </w:t>
      </w:r>
      <w:proofErr w:type="gramStart"/>
      <w:r>
        <w:t xml:space="preserve">all </w:t>
      </w:r>
      <w:r w:rsidRPr="00A64843">
        <w:t>of</w:t>
      </w:r>
      <w:proofErr w:type="gramEnd"/>
      <w:r w:rsidRPr="00A64843">
        <w:t xml:space="preserve"> the </w:t>
      </w:r>
      <w:r w:rsidRPr="00BF0952">
        <w:t>business’</w:t>
      </w:r>
      <w:r w:rsidRPr="00A64843">
        <w:t xml:space="preserve"> net taxable</w:t>
      </w:r>
      <w:r>
        <w:t xml:space="preserve"> earnings. Therefore, leveraging both credits requires the business to pay both the PTE tax and fund the charitable contribution required by the charitable credits program, which could result in double payment of tax.  It is important to n</w:t>
      </w:r>
      <w:r w:rsidRPr="007011CF">
        <w:rPr>
          <w:rFonts w:eastAsia="Times New Roman"/>
        </w:rPr>
        <w:t xml:space="preserve">ote that </w:t>
      </w:r>
      <w:r>
        <w:t>charitable credits in excess of tax due are not refundable, rather they are carried forward to future tax periods to offset future tax liability (up to 5 years); however, excess tax credits that are attributable to credits from PTE tax are refundable to you, provided that the credits are applied properly on your individual Mississippi tax return.</w:t>
      </w:r>
    </w:p>
    <w:p w14:paraId="6938AC84" w14:textId="77777777" w:rsidR="00C87C83" w:rsidRPr="00BF0952" w:rsidRDefault="00C87C83" w:rsidP="00C87C83">
      <w:pPr>
        <w:jc w:val="both"/>
        <w:rPr>
          <w:rFonts w:ascii="Aptos" w:hAnsi="Aptos"/>
        </w:rPr>
      </w:pPr>
      <w:r>
        <w:rPr>
          <w:rFonts w:ascii="Aptos" w:hAnsi="Aptos"/>
        </w:rPr>
        <w:t>In other words, if your business has elected and paid PTE and you have the desire to take advantage of the charitable credit program, you are able to do so and request a refund of excess PTE tax credits.  For example, assume your business income results in a Mississippi tax liability of $20,000 which was satisfied through payments of PTE tax by your business on your behalf.  This would result in a PTE Tax credit of $20,000 that would be available for use on your Mississippi individual tax return to offset your computed tax liability.  If you were to also secure an allocation of $20,000 of business charitable contribution credits from MDOR and make the required charitable contribution to a qualifying charity, then you would also have an additional $20,000 credit available for use on your Mississippi individual tax return to offset your computed tax liability. When you file your Mississippi individual tax return, you would complete the appropriate tax forms to apply the charitable credit to your tax liability, and then request a refund of any PTE Tax credit that remains.</w:t>
      </w:r>
    </w:p>
    <w:p w14:paraId="3E3F21FD" w14:textId="77777777" w:rsidR="00C87C83" w:rsidRDefault="00C87C83" w:rsidP="00C87C83">
      <w:pPr>
        <w:spacing w:line="240" w:lineRule="auto"/>
        <w:jc w:val="both"/>
      </w:pPr>
      <w:r>
        <w:rPr>
          <w:rFonts w:eastAsia="Times New Roman"/>
        </w:rPr>
        <w:t xml:space="preserve">MDOR released a September 11, </w:t>
      </w:r>
      <w:proofErr w:type="gramStart"/>
      <w:r>
        <w:rPr>
          <w:rFonts w:eastAsia="Times New Roman"/>
        </w:rPr>
        <w:t>2023</w:t>
      </w:r>
      <w:proofErr w:type="gramEnd"/>
      <w:r>
        <w:rPr>
          <w:rFonts w:eastAsia="Times New Roman"/>
        </w:rPr>
        <w:t xml:space="preserve"> Frequently Asked Questions publication that provides details on how PTE credits coordinate with charitable credits, including which forms must be filed to ensure taxpayers claim the PTE tax credit after other credits earned.  You should seek the advice of your tax preparer to ensure proper reporting.  The MDOR publication can be found here:</w:t>
      </w:r>
    </w:p>
    <w:p w14:paraId="1707BF2E" w14:textId="77777777" w:rsidR="00C87C83" w:rsidRPr="00646854" w:rsidRDefault="00C87C83" w:rsidP="00C87C83">
      <w:pPr>
        <w:spacing w:line="240" w:lineRule="auto"/>
        <w:jc w:val="both"/>
      </w:pPr>
      <w:hyperlink r:id="rId11" w:history="1">
        <w:r w:rsidRPr="004A1B42">
          <w:rPr>
            <w:rStyle w:val="Hyperlink"/>
          </w:rPr>
          <w:t>https://www.dor.ms.gov/sites/default/files/Business/EPTE%20Revised%20FAQ%209-11-23.pdf</w:t>
        </w:r>
      </w:hyperlink>
      <w:r>
        <w:t>.</w:t>
      </w:r>
      <w:r w:rsidRPr="00646854">
        <w:t xml:space="preserve">  </w:t>
      </w:r>
    </w:p>
    <w:p w14:paraId="1F3DFA24" w14:textId="77777777" w:rsidR="00C87C83" w:rsidRDefault="00C87C83" w:rsidP="00C87C83">
      <w:pPr>
        <w:jc w:val="both"/>
        <w:rPr>
          <w:b/>
          <w:bCs/>
        </w:rPr>
      </w:pPr>
    </w:p>
    <w:p w14:paraId="27B1F3EC" w14:textId="77777777" w:rsidR="00C87C83" w:rsidRDefault="00C87C83" w:rsidP="00C87C83">
      <w:pPr>
        <w:rPr>
          <w:b/>
          <w:bCs/>
        </w:rPr>
      </w:pPr>
      <w:r>
        <w:rPr>
          <w:b/>
          <w:bCs/>
        </w:rPr>
        <w:br w:type="page"/>
      </w:r>
    </w:p>
    <w:p w14:paraId="70E76B17" w14:textId="77777777" w:rsidR="00C87C83" w:rsidRPr="00BF0952" w:rsidRDefault="00C87C83" w:rsidP="00C87C83">
      <w:pPr>
        <w:jc w:val="both"/>
        <w:rPr>
          <w:b/>
          <w:bCs/>
        </w:rPr>
      </w:pPr>
      <w:r w:rsidRPr="00BF0952">
        <w:rPr>
          <w:b/>
          <w:bCs/>
        </w:rPr>
        <w:lastRenderedPageBreak/>
        <w:t>If my business wants to take advantage of the PTE tax and make a charitable contribution to C</w:t>
      </w:r>
      <w:r>
        <w:rPr>
          <w:b/>
          <w:bCs/>
        </w:rPr>
        <w:t>enter for Pregnancy Choices</w:t>
      </w:r>
      <w:r w:rsidRPr="00BF0952">
        <w:rPr>
          <w:b/>
          <w:bCs/>
        </w:rPr>
        <w:t xml:space="preserve"> in the same year, what should I do?</w:t>
      </w:r>
    </w:p>
    <w:p w14:paraId="790440B2" w14:textId="77777777" w:rsidR="00C87C83" w:rsidRDefault="00C87C83" w:rsidP="00C87C83">
      <w:pPr>
        <w:jc w:val="both"/>
      </w:pPr>
      <w:r>
        <w:t xml:space="preserve">Step 1 – Consult with your tax preparer or CPA to ensure that this strategy is appropriate for your tax situation.  </w:t>
      </w:r>
    </w:p>
    <w:p w14:paraId="3332E9DF" w14:textId="77777777" w:rsidR="00C87C83" w:rsidRDefault="00C87C83" w:rsidP="00C87C83">
      <w:pPr>
        <w:jc w:val="both"/>
      </w:pPr>
      <w:r>
        <w:t xml:space="preserve">Step 2 – Business makes a PTE election and pays required PTE tax payments to MDOR.  </w:t>
      </w:r>
    </w:p>
    <w:p w14:paraId="4342D792" w14:textId="77777777" w:rsidR="00C87C83" w:rsidRDefault="00C87C83" w:rsidP="00C87C83">
      <w:pPr>
        <w:jc w:val="both"/>
      </w:pPr>
      <w:r>
        <w:t xml:space="preserve">Step 3 – Business applies for an allocation of business charitable tax credits from MDOR and once approved, makes contribution to Center for Pregnancy Choices.  </w:t>
      </w:r>
    </w:p>
    <w:p w14:paraId="7654C16B" w14:textId="77777777" w:rsidR="00C87C83" w:rsidRPr="00D710A0" w:rsidRDefault="00C87C83" w:rsidP="00C87C83">
      <w:pPr>
        <w:jc w:val="both"/>
      </w:pPr>
      <w:r>
        <w:t>Step 4 – When preparing your personal tax return, ensure that you properly report the PTE and charitable contribution credits on your return and request a refund of any excess PTE credits in accordance with the MDOR guidance referenced in the document linked above.</w:t>
      </w:r>
    </w:p>
    <w:p w14:paraId="486C973D" w14:textId="77777777" w:rsidR="00223E76" w:rsidRDefault="00223E76" w:rsidP="00223E76">
      <w:pPr>
        <w:pStyle w:val="Footer"/>
        <w:jc w:val="center"/>
        <w:rPr>
          <w:b/>
          <w:bCs/>
        </w:rPr>
      </w:pPr>
    </w:p>
    <w:p w14:paraId="6A86A39F" w14:textId="77777777" w:rsidR="00223E76" w:rsidRDefault="00223E76" w:rsidP="00223E76">
      <w:pPr>
        <w:pStyle w:val="Footer"/>
        <w:jc w:val="center"/>
        <w:rPr>
          <w:b/>
          <w:bCs/>
        </w:rPr>
      </w:pPr>
    </w:p>
    <w:p w14:paraId="153C5F8E" w14:textId="77777777" w:rsidR="00223E76" w:rsidRDefault="00223E76" w:rsidP="00223E76">
      <w:pPr>
        <w:pStyle w:val="Footer"/>
        <w:jc w:val="center"/>
        <w:rPr>
          <w:b/>
          <w:bCs/>
        </w:rPr>
      </w:pPr>
    </w:p>
    <w:p w14:paraId="1FCBADA7" w14:textId="77777777" w:rsidR="00223E76" w:rsidRDefault="00223E76" w:rsidP="00223E76">
      <w:pPr>
        <w:pStyle w:val="Footer"/>
        <w:jc w:val="center"/>
        <w:rPr>
          <w:b/>
          <w:bCs/>
        </w:rPr>
      </w:pPr>
    </w:p>
    <w:p w14:paraId="7C6B0890" w14:textId="77777777" w:rsidR="00223E76" w:rsidRDefault="00223E76" w:rsidP="00223E76">
      <w:pPr>
        <w:pStyle w:val="Footer"/>
        <w:jc w:val="center"/>
        <w:rPr>
          <w:b/>
          <w:bCs/>
        </w:rPr>
      </w:pPr>
    </w:p>
    <w:p w14:paraId="4637BEA9" w14:textId="77777777" w:rsidR="00223E76" w:rsidRDefault="00223E76" w:rsidP="00223E76">
      <w:pPr>
        <w:pStyle w:val="Footer"/>
        <w:jc w:val="center"/>
        <w:rPr>
          <w:b/>
          <w:bCs/>
        </w:rPr>
      </w:pPr>
    </w:p>
    <w:p w14:paraId="3038D91D" w14:textId="77777777" w:rsidR="00223E76" w:rsidRDefault="00223E76" w:rsidP="00223E76">
      <w:pPr>
        <w:pStyle w:val="Footer"/>
        <w:jc w:val="center"/>
        <w:rPr>
          <w:b/>
          <w:bCs/>
        </w:rPr>
      </w:pPr>
    </w:p>
    <w:p w14:paraId="375639CD" w14:textId="77777777" w:rsidR="00223E76" w:rsidRDefault="00223E76" w:rsidP="00223E76">
      <w:pPr>
        <w:pStyle w:val="Footer"/>
        <w:jc w:val="center"/>
        <w:rPr>
          <w:b/>
          <w:bCs/>
        </w:rPr>
      </w:pPr>
    </w:p>
    <w:p w14:paraId="1232C751" w14:textId="77777777" w:rsidR="00223E76" w:rsidRDefault="00223E76" w:rsidP="00223E76">
      <w:pPr>
        <w:pStyle w:val="Footer"/>
        <w:jc w:val="center"/>
        <w:rPr>
          <w:b/>
          <w:bCs/>
        </w:rPr>
      </w:pPr>
    </w:p>
    <w:p w14:paraId="644C51E0" w14:textId="77777777" w:rsidR="00223E76" w:rsidRDefault="00223E76" w:rsidP="00223E76">
      <w:pPr>
        <w:pStyle w:val="Footer"/>
        <w:jc w:val="center"/>
        <w:rPr>
          <w:b/>
          <w:bCs/>
        </w:rPr>
      </w:pPr>
    </w:p>
    <w:p w14:paraId="65C04553" w14:textId="77777777" w:rsidR="00223E76" w:rsidRDefault="00223E76" w:rsidP="00223E76">
      <w:pPr>
        <w:pStyle w:val="Footer"/>
        <w:jc w:val="center"/>
        <w:rPr>
          <w:b/>
          <w:bCs/>
        </w:rPr>
      </w:pPr>
    </w:p>
    <w:p w14:paraId="06701054" w14:textId="77777777" w:rsidR="00223E76" w:rsidRDefault="00223E76" w:rsidP="00223E76">
      <w:pPr>
        <w:pStyle w:val="Footer"/>
        <w:jc w:val="center"/>
        <w:rPr>
          <w:b/>
          <w:bCs/>
        </w:rPr>
      </w:pPr>
    </w:p>
    <w:p w14:paraId="6DE8383C" w14:textId="77777777" w:rsidR="00223E76" w:rsidRDefault="00223E76" w:rsidP="00223E76">
      <w:pPr>
        <w:pStyle w:val="Footer"/>
        <w:jc w:val="center"/>
        <w:rPr>
          <w:b/>
          <w:bCs/>
        </w:rPr>
      </w:pPr>
    </w:p>
    <w:p w14:paraId="3AC60B9C" w14:textId="77777777" w:rsidR="00223E76" w:rsidRDefault="00223E76" w:rsidP="00223E76">
      <w:pPr>
        <w:pStyle w:val="Footer"/>
        <w:jc w:val="center"/>
        <w:rPr>
          <w:b/>
          <w:bCs/>
        </w:rPr>
      </w:pPr>
    </w:p>
    <w:p w14:paraId="66F96571" w14:textId="77777777" w:rsidR="00223E76" w:rsidRDefault="00223E76" w:rsidP="00223E76">
      <w:pPr>
        <w:pStyle w:val="Footer"/>
        <w:jc w:val="center"/>
        <w:rPr>
          <w:b/>
          <w:bCs/>
        </w:rPr>
      </w:pPr>
    </w:p>
    <w:p w14:paraId="37EC10A7" w14:textId="77777777" w:rsidR="00223E76" w:rsidRDefault="00223E76" w:rsidP="00223E76">
      <w:pPr>
        <w:pStyle w:val="Footer"/>
        <w:jc w:val="center"/>
        <w:rPr>
          <w:b/>
          <w:bCs/>
        </w:rPr>
      </w:pPr>
    </w:p>
    <w:p w14:paraId="3596508F" w14:textId="77777777" w:rsidR="00223E76" w:rsidRDefault="00223E76" w:rsidP="00223E76">
      <w:pPr>
        <w:pStyle w:val="Footer"/>
        <w:jc w:val="center"/>
        <w:rPr>
          <w:b/>
          <w:bCs/>
        </w:rPr>
      </w:pPr>
    </w:p>
    <w:p w14:paraId="45555F0F" w14:textId="77777777" w:rsidR="00223E76" w:rsidRDefault="00223E76" w:rsidP="00223E76">
      <w:pPr>
        <w:pStyle w:val="Footer"/>
        <w:jc w:val="center"/>
        <w:rPr>
          <w:b/>
          <w:bCs/>
        </w:rPr>
      </w:pPr>
    </w:p>
    <w:p w14:paraId="0796BBFD" w14:textId="77777777" w:rsidR="00223E76" w:rsidRDefault="00223E76" w:rsidP="00223E76">
      <w:pPr>
        <w:pStyle w:val="Footer"/>
        <w:jc w:val="center"/>
        <w:rPr>
          <w:b/>
          <w:bCs/>
        </w:rPr>
      </w:pPr>
    </w:p>
    <w:p w14:paraId="3FC79F92" w14:textId="77777777" w:rsidR="00223E76" w:rsidRDefault="00223E76" w:rsidP="00223E76">
      <w:pPr>
        <w:pStyle w:val="Footer"/>
        <w:jc w:val="center"/>
        <w:rPr>
          <w:b/>
          <w:bCs/>
        </w:rPr>
      </w:pPr>
    </w:p>
    <w:p w14:paraId="34A0A5BD" w14:textId="77777777" w:rsidR="00223E76" w:rsidRDefault="00223E76" w:rsidP="00223E76">
      <w:pPr>
        <w:pStyle w:val="Footer"/>
        <w:jc w:val="center"/>
        <w:rPr>
          <w:b/>
          <w:bCs/>
        </w:rPr>
      </w:pPr>
    </w:p>
    <w:p w14:paraId="19762CDE" w14:textId="77777777" w:rsidR="00223E76" w:rsidRDefault="00223E76" w:rsidP="00223E76">
      <w:pPr>
        <w:pStyle w:val="Footer"/>
        <w:jc w:val="center"/>
        <w:rPr>
          <w:b/>
          <w:bCs/>
        </w:rPr>
      </w:pPr>
    </w:p>
    <w:p w14:paraId="61825723" w14:textId="77777777" w:rsidR="00223E76" w:rsidRDefault="00223E76" w:rsidP="00223E76">
      <w:pPr>
        <w:pStyle w:val="Footer"/>
        <w:jc w:val="center"/>
        <w:rPr>
          <w:b/>
          <w:bCs/>
        </w:rPr>
      </w:pPr>
    </w:p>
    <w:p w14:paraId="52A82254" w14:textId="77777777" w:rsidR="00223E76" w:rsidRDefault="00223E76" w:rsidP="00223E76">
      <w:pPr>
        <w:pStyle w:val="Footer"/>
        <w:jc w:val="center"/>
        <w:rPr>
          <w:b/>
          <w:bCs/>
        </w:rPr>
      </w:pPr>
    </w:p>
    <w:p w14:paraId="1D65AA22" w14:textId="77777777" w:rsidR="00223E76" w:rsidRDefault="00223E76" w:rsidP="00223E76">
      <w:pPr>
        <w:pStyle w:val="Footer"/>
        <w:jc w:val="center"/>
        <w:rPr>
          <w:b/>
          <w:bCs/>
        </w:rPr>
      </w:pPr>
    </w:p>
    <w:p w14:paraId="0EAF48F7" w14:textId="77777777" w:rsidR="00223E76" w:rsidRDefault="00223E76" w:rsidP="00223E76">
      <w:pPr>
        <w:pStyle w:val="Footer"/>
        <w:jc w:val="center"/>
        <w:rPr>
          <w:b/>
          <w:bCs/>
        </w:rPr>
      </w:pPr>
    </w:p>
    <w:p w14:paraId="0765EB4A" w14:textId="77777777" w:rsidR="00223E76" w:rsidRDefault="00223E76" w:rsidP="00223E76">
      <w:pPr>
        <w:pStyle w:val="Footer"/>
        <w:jc w:val="center"/>
        <w:rPr>
          <w:b/>
          <w:bCs/>
        </w:rPr>
      </w:pPr>
    </w:p>
    <w:p w14:paraId="5C708967" w14:textId="77777777" w:rsidR="00223E76" w:rsidRDefault="00223E76" w:rsidP="00223E76">
      <w:pPr>
        <w:pStyle w:val="Footer"/>
        <w:jc w:val="center"/>
        <w:rPr>
          <w:b/>
          <w:bCs/>
        </w:rPr>
      </w:pPr>
    </w:p>
    <w:p w14:paraId="0BE11B8B" w14:textId="77777777" w:rsidR="00223E76" w:rsidRDefault="00223E76" w:rsidP="00223E76">
      <w:pPr>
        <w:pStyle w:val="Footer"/>
        <w:jc w:val="center"/>
        <w:rPr>
          <w:b/>
          <w:bCs/>
        </w:rPr>
      </w:pPr>
    </w:p>
    <w:p w14:paraId="1A3F9E52" w14:textId="77777777" w:rsidR="00223E76" w:rsidRDefault="00223E76" w:rsidP="00223E76">
      <w:pPr>
        <w:pStyle w:val="Footer"/>
        <w:jc w:val="center"/>
        <w:rPr>
          <w:b/>
          <w:bCs/>
        </w:rPr>
      </w:pPr>
    </w:p>
    <w:p w14:paraId="211AD94E" w14:textId="77777777" w:rsidR="00223E76" w:rsidRDefault="00223E76" w:rsidP="00223E76">
      <w:pPr>
        <w:pStyle w:val="Footer"/>
        <w:jc w:val="center"/>
        <w:rPr>
          <w:b/>
          <w:bCs/>
        </w:rPr>
      </w:pPr>
    </w:p>
    <w:p w14:paraId="4B02FE37" w14:textId="77777777" w:rsidR="00223E76" w:rsidRDefault="00223E76" w:rsidP="00223E76">
      <w:pPr>
        <w:pStyle w:val="Footer"/>
        <w:jc w:val="center"/>
        <w:rPr>
          <w:b/>
          <w:bCs/>
        </w:rPr>
      </w:pPr>
    </w:p>
    <w:p w14:paraId="74AE887C" w14:textId="77777777" w:rsidR="00223E76" w:rsidRDefault="00223E76" w:rsidP="00223E76">
      <w:pPr>
        <w:pStyle w:val="Footer"/>
        <w:rPr>
          <w:b/>
          <w:bCs/>
        </w:rPr>
      </w:pPr>
    </w:p>
    <w:p w14:paraId="0B753C35" w14:textId="0D57DEFD" w:rsidR="008F3E0D" w:rsidRDefault="00223E76" w:rsidP="00223E76">
      <w:pPr>
        <w:pStyle w:val="Footer"/>
        <w:jc w:val="center"/>
        <w:rPr>
          <w:b/>
          <w:bCs/>
        </w:rPr>
      </w:pPr>
      <w:r>
        <w:rPr>
          <w:noProof/>
        </w:rPr>
        <w:drawing>
          <wp:anchor distT="0" distB="0" distL="114300" distR="114300" simplePos="0" relativeHeight="251661312" behindDoc="1" locked="0" layoutInCell="1" allowOverlap="1" wp14:anchorId="62638EDE" wp14:editId="7F124BC6">
            <wp:simplePos x="0" y="0"/>
            <wp:positionH relativeFrom="page">
              <wp:align>left</wp:align>
            </wp:positionH>
            <wp:positionV relativeFrom="page">
              <wp:align>bottom</wp:align>
            </wp:positionV>
            <wp:extent cx="7788275" cy="330200"/>
            <wp:effectExtent l="0" t="0" r="3175" b="0"/>
            <wp:wrapTight wrapText="bothSides">
              <wp:wrapPolygon edited="0">
                <wp:start x="0" y="0"/>
                <wp:lineTo x="0" y="19938"/>
                <wp:lineTo x="21556" y="19938"/>
                <wp:lineTo x="21556" y="0"/>
                <wp:lineTo x="0" y="0"/>
              </wp:wrapPolygon>
            </wp:wrapTight>
            <wp:docPr id="563786613" name="Picture 2" descr="A screen 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86613" name="Picture 2" descr="A screen shot of a cell phone&#10;&#10;Description automatically generated"/>
                    <pic:cNvPicPr/>
                  </pic:nvPicPr>
                  <pic:blipFill rotWithShape="1">
                    <a:blip r:embed="rId12">
                      <a:extLst>
                        <a:ext uri="{28A0092B-C50C-407E-A947-70E740481C1C}">
                          <a14:useLocalDpi xmlns:a14="http://schemas.microsoft.com/office/drawing/2010/main" val="0"/>
                        </a:ext>
                      </a:extLst>
                    </a:blip>
                    <a:srcRect t="96722"/>
                    <a:stretch/>
                  </pic:blipFill>
                  <pic:spPr bwMode="auto">
                    <a:xfrm>
                      <a:off x="0" y="0"/>
                      <a:ext cx="7788275" cy="330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rPr>
        <w:t>6</w:t>
      </w:r>
      <w:r w:rsidRPr="00A55490">
        <w:rPr>
          <w:b/>
          <w:bCs/>
        </w:rPr>
        <w:t>01.487.1063 I P.O. Box 55664, Jackson, MS 39296 I cpcmetro.org</w:t>
      </w:r>
    </w:p>
    <w:sectPr w:rsidR="008F3E0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5FE4E" w14:textId="77777777" w:rsidR="003050B7" w:rsidRDefault="003050B7" w:rsidP="008F3E0D">
      <w:pPr>
        <w:spacing w:after="0" w:line="240" w:lineRule="auto"/>
      </w:pPr>
      <w:r>
        <w:separator/>
      </w:r>
    </w:p>
  </w:endnote>
  <w:endnote w:type="continuationSeparator" w:id="0">
    <w:p w14:paraId="49572540" w14:textId="77777777" w:rsidR="003050B7" w:rsidRDefault="003050B7" w:rsidP="008F3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31D4" w14:textId="77777777" w:rsidR="003050B7" w:rsidRDefault="003050B7" w:rsidP="008F3E0D">
      <w:pPr>
        <w:spacing w:after="0" w:line="240" w:lineRule="auto"/>
      </w:pPr>
      <w:r>
        <w:separator/>
      </w:r>
    </w:p>
  </w:footnote>
  <w:footnote w:type="continuationSeparator" w:id="0">
    <w:p w14:paraId="65320E2F" w14:textId="77777777" w:rsidR="003050B7" w:rsidRDefault="003050B7" w:rsidP="008F3E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476A5"/>
    <w:multiLevelType w:val="hybridMultilevel"/>
    <w:tmpl w:val="17043AFA"/>
    <w:lvl w:ilvl="0" w:tplc="F7EC9E5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333352"/>
    <w:multiLevelType w:val="hybridMultilevel"/>
    <w:tmpl w:val="1C6479A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1BB68E9"/>
    <w:multiLevelType w:val="hybridMultilevel"/>
    <w:tmpl w:val="0636BEA0"/>
    <w:lvl w:ilvl="0" w:tplc="80EA19D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E76606"/>
    <w:multiLevelType w:val="hybridMultilevel"/>
    <w:tmpl w:val="EFC039C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EDF60FC"/>
    <w:multiLevelType w:val="hybridMultilevel"/>
    <w:tmpl w:val="35209A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016122"/>
    <w:multiLevelType w:val="hybridMultilevel"/>
    <w:tmpl w:val="58A4D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3023961">
    <w:abstractNumId w:val="2"/>
  </w:num>
  <w:num w:numId="2" w16cid:durableId="1243031026">
    <w:abstractNumId w:val="0"/>
  </w:num>
  <w:num w:numId="3" w16cid:durableId="1183204562">
    <w:abstractNumId w:val="3"/>
  </w:num>
  <w:num w:numId="4" w16cid:durableId="1967811688">
    <w:abstractNumId w:val="1"/>
  </w:num>
  <w:num w:numId="5" w16cid:durableId="1274480727">
    <w:abstractNumId w:val="4"/>
  </w:num>
  <w:num w:numId="6" w16cid:durableId="2091543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701"/>
    <w:rsid w:val="00004DA2"/>
    <w:rsid w:val="000224CB"/>
    <w:rsid w:val="0002383A"/>
    <w:rsid w:val="00024744"/>
    <w:rsid w:val="00035ABE"/>
    <w:rsid w:val="000440DA"/>
    <w:rsid w:val="00057608"/>
    <w:rsid w:val="000879F0"/>
    <w:rsid w:val="00091558"/>
    <w:rsid w:val="000A7B3B"/>
    <w:rsid w:val="000C7809"/>
    <w:rsid w:val="000C7EC0"/>
    <w:rsid w:val="000E41EE"/>
    <w:rsid w:val="000F3358"/>
    <w:rsid w:val="00104059"/>
    <w:rsid w:val="00114E77"/>
    <w:rsid w:val="0012425C"/>
    <w:rsid w:val="00125FEF"/>
    <w:rsid w:val="001320F5"/>
    <w:rsid w:val="00141982"/>
    <w:rsid w:val="001558B3"/>
    <w:rsid w:val="00173AB7"/>
    <w:rsid w:val="00175A36"/>
    <w:rsid w:val="001B63ED"/>
    <w:rsid w:val="001C6EF1"/>
    <w:rsid w:val="00206ECE"/>
    <w:rsid w:val="00223E76"/>
    <w:rsid w:val="002351C7"/>
    <w:rsid w:val="0024337D"/>
    <w:rsid w:val="00253285"/>
    <w:rsid w:val="00266C3A"/>
    <w:rsid w:val="002779F0"/>
    <w:rsid w:val="002A1BE0"/>
    <w:rsid w:val="002A7A95"/>
    <w:rsid w:val="002B6380"/>
    <w:rsid w:val="002C14EA"/>
    <w:rsid w:val="002C1722"/>
    <w:rsid w:val="003050B7"/>
    <w:rsid w:val="003050E6"/>
    <w:rsid w:val="0031255E"/>
    <w:rsid w:val="0032364B"/>
    <w:rsid w:val="003273CF"/>
    <w:rsid w:val="00334A9A"/>
    <w:rsid w:val="00352946"/>
    <w:rsid w:val="00367505"/>
    <w:rsid w:val="003745C1"/>
    <w:rsid w:val="003808F6"/>
    <w:rsid w:val="00380D3F"/>
    <w:rsid w:val="00397C6C"/>
    <w:rsid w:val="003A76F9"/>
    <w:rsid w:val="003E509A"/>
    <w:rsid w:val="003F453F"/>
    <w:rsid w:val="0040713F"/>
    <w:rsid w:val="004207CD"/>
    <w:rsid w:val="00436DBF"/>
    <w:rsid w:val="00437270"/>
    <w:rsid w:val="00444AE4"/>
    <w:rsid w:val="00477568"/>
    <w:rsid w:val="00477F03"/>
    <w:rsid w:val="004800F9"/>
    <w:rsid w:val="004A1B42"/>
    <w:rsid w:val="004C154E"/>
    <w:rsid w:val="004C2752"/>
    <w:rsid w:val="004C5DC7"/>
    <w:rsid w:val="00511A1D"/>
    <w:rsid w:val="00532B96"/>
    <w:rsid w:val="005457F9"/>
    <w:rsid w:val="00554AF9"/>
    <w:rsid w:val="00555429"/>
    <w:rsid w:val="005928E8"/>
    <w:rsid w:val="005A112E"/>
    <w:rsid w:val="005A1CBC"/>
    <w:rsid w:val="005B4E9F"/>
    <w:rsid w:val="005C12BD"/>
    <w:rsid w:val="005C3B1C"/>
    <w:rsid w:val="00602444"/>
    <w:rsid w:val="00605AA2"/>
    <w:rsid w:val="006246F3"/>
    <w:rsid w:val="0063774F"/>
    <w:rsid w:val="00640159"/>
    <w:rsid w:val="00646854"/>
    <w:rsid w:val="006475D8"/>
    <w:rsid w:val="00687B97"/>
    <w:rsid w:val="00693E6F"/>
    <w:rsid w:val="006B7BE7"/>
    <w:rsid w:val="006E19BF"/>
    <w:rsid w:val="006E1B71"/>
    <w:rsid w:val="006E3747"/>
    <w:rsid w:val="006E3C3D"/>
    <w:rsid w:val="006F3446"/>
    <w:rsid w:val="006F6CA8"/>
    <w:rsid w:val="007011CF"/>
    <w:rsid w:val="007051D3"/>
    <w:rsid w:val="0071079C"/>
    <w:rsid w:val="007119BD"/>
    <w:rsid w:val="0074286D"/>
    <w:rsid w:val="00776198"/>
    <w:rsid w:val="007A101B"/>
    <w:rsid w:val="007C0D4E"/>
    <w:rsid w:val="007C2691"/>
    <w:rsid w:val="007C747B"/>
    <w:rsid w:val="007E4502"/>
    <w:rsid w:val="007F0509"/>
    <w:rsid w:val="008005D3"/>
    <w:rsid w:val="00803962"/>
    <w:rsid w:val="00805482"/>
    <w:rsid w:val="00816BDA"/>
    <w:rsid w:val="00830FAC"/>
    <w:rsid w:val="0083152E"/>
    <w:rsid w:val="0083695C"/>
    <w:rsid w:val="00865D91"/>
    <w:rsid w:val="008763D5"/>
    <w:rsid w:val="008818A7"/>
    <w:rsid w:val="00884552"/>
    <w:rsid w:val="008857C9"/>
    <w:rsid w:val="00892623"/>
    <w:rsid w:val="00892D1B"/>
    <w:rsid w:val="008D1B5F"/>
    <w:rsid w:val="008D2A60"/>
    <w:rsid w:val="008D50F7"/>
    <w:rsid w:val="008E5DDA"/>
    <w:rsid w:val="008F0F84"/>
    <w:rsid w:val="008F2530"/>
    <w:rsid w:val="008F3E0D"/>
    <w:rsid w:val="008F426A"/>
    <w:rsid w:val="0090145C"/>
    <w:rsid w:val="00902E43"/>
    <w:rsid w:val="00903188"/>
    <w:rsid w:val="009115D6"/>
    <w:rsid w:val="0091696A"/>
    <w:rsid w:val="00930E14"/>
    <w:rsid w:val="0093100C"/>
    <w:rsid w:val="00935C53"/>
    <w:rsid w:val="00950DC3"/>
    <w:rsid w:val="00951CB6"/>
    <w:rsid w:val="00964851"/>
    <w:rsid w:val="0096571C"/>
    <w:rsid w:val="009723A4"/>
    <w:rsid w:val="009834DA"/>
    <w:rsid w:val="009A5CC0"/>
    <w:rsid w:val="009A5CFA"/>
    <w:rsid w:val="009A6F0B"/>
    <w:rsid w:val="009D0202"/>
    <w:rsid w:val="009D1753"/>
    <w:rsid w:val="00A01723"/>
    <w:rsid w:val="00A07BD9"/>
    <w:rsid w:val="00A114C1"/>
    <w:rsid w:val="00A11AEC"/>
    <w:rsid w:val="00A12A84"/>
    <w:rsid w:val="00A36701"/>
    <w:rsid w:val="00A576B1"/>
    <w:rsid w:val="00A64843"/>
    <w:rsid w:val="00A67280"/>
    <w:rsid w:val="00A823C3"/>
    <w:rsid w:val="00A84549"/>
    <w:rsid w:val="00AB2122"/>
    <w:rsid w:val="00AB2987"/>
    <w:rsid w:val="00AB4B12"/>
    <w:rsid w:val="00AC2752"/>
    <w:rsid w:val="00AD3FC4"/>
    <w:rsid w:val="00AE7153"/>
    <w:rsid w:val="00AF7E5E"/>
    <w:rsid w:val="00B310C2"/>
    <w:rsid w:val="00B328CA"/>
    <w:rsid w:val="00B55311"/>
    <w:rsid w:val="00B66320"/>
    <w:rsid w:val="00B75F01"/>
    <w:rsid w:val="00B951AD"/>
    <w:rsid w:val="00BA255D"/>
    <w:rsid w:val="00BA3E10"/>
    <w:rsid w:val="00BA58E7"/>
    <w:rsid w:val="00BA7213"/>
    <w:rsid w:val="00BA7565"/>
    <w:rsid w:val="00BF0952"/>
    <w:rsid w:val="00C044D3"/>
    <w:rsid w:val="00C2557D"/>
    <w:rsid w:val="00C32B07"/>
    <w:rsid w:val="00C5704C"/>
    <w:rsid w:val="00C616DB"/>
    <w:rsid w:val="00C65CB2"/>
    <w:rsid w:val="00C8305F"/>
    <w:rsid w:val="00C87C83"/>
    <w:rsid w:val="00C96E9E"/>
    <w:rsid w:val="00CA782A"/>
    <w:rsid w:val="00CB2D30"/>
    <w:rsid w:val="00CB6AE4"/>
    <w:rsid w:val="00CC5907"/>
    <w:rsid w:val="00CE5769"/>
    <w:rsid w:val="00CF14C5"/>
    <w:rsid w:val="00D06CE2"/>
    <w:rsid w:val="00D1052C"/>
    <w:rsid w:val="00D2664D"/>
    <w:rsid w:val="00D44729"/>
    <w:rsid w:val="00D46FEB"/>
    <w:rsid w:val="00D52B54"/>
    <w:rsid w:val="00D5721A"/>
    <w:rsid w:val="00D710A0"/>
    <w:rsid w:val="00D87A06"/>
    <w:rsid w:val="00D979CD"/>
    <w:rsid w:val="00DC1160"/>
    <w:rsid w:val="00DD00B5"/>
    <w:rsid w:val="00DD21A0"/>
    <w:rsid w:val="00DD27FF"/>
    <w:rsid w:val="00DE73CF"/>
    <w:rsid w:val="00DF407A"/>
    <w:rsid w:val="00E1122F"/>
    <w:rsid w:val="00E26CDE"/>
    <w:rsid w:val="00E32057"/>
    <w:rsid w:val="00E33785"/>
    <w:rsid w:val="00E5057A"/>
    <w:rsid w:val="00E5152C"/>
    <w:rsid w:val="00E542A9"/>
    <w:rsid w:val="00E8238F"/>
    <w:rsid w:val="00E97FD1"/>
    <w:rsid w:val="00EC50D1"/>
    <w:rsid w:val="00EC5AA3"/>
    <w:rsid w:val="00EE5C8F"/>
    <w:rsid w:val="00EE6AF4"/>
    <w:rsid w:val="00EE6C65"/>
    <w:rsid w:val="00F04210"/>
    <w:rsid w:val="00F12FCA"/>
    <w:rsid w:val="00F20736"/>
    <w:rsid w:val="00F307B3"/>
    <w:rsid w:val="00F365DF"/>
    <w:rsid w:val="00F61611"/>
    <w:rsid w:val="00F618E9"/>
    <w:rsid w:val="00F61D8D"/>
    <w:rsid w:val="00F65506"/>
    <w:rsid w:val="00F70A1D"/>
    <w:rsid w:val="00FA0CEC"/>
    <w:rsid w:val="00FA3F42"/>
    <w:rsid w:val="00FB0A0F"/>
    <w:rsid w:val="00FC2AB1"/>
    <w:rsid w:val="00FC7E46"/>
    <w:rsid w:val="00FD70D6"/>
    <w:rsid w:val="00FE0DD5"/>
    <w:rsid w:val="00FF0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5BCAB"/>
  <w15:chartTrackingRefBased/>
  <w15:docId w15:val="{0C47D237-106C-4DC6-946F-D208F237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7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7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7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7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7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7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7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7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7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7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7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7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7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7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7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7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7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701"/>
    <w:rPr>
      <w:rFonts w:eastAsiaTheme="majorEastAsia" w:cstheme="majorBidi"/>
      <w:color w:val="272727" w:themeColor="text1" w:themeTint="D8"/>
    </w:rPr>
  </w:style>
  <w:style w:type="paragraph" w:styleId="Title">
    <w:name w:val="Title"/>
    <w:basedOn w:val="Normal"/>
    <w:next w:val="Normal"/>
    <w:link w:val="TitleChar"/>
    <w:uiPriority w:val="10"/>
    <w:qFormat/>
    <w:rsid w:val="00A367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7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7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7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701"/>
    <w:pPr>
      <w:spacing w:before="160"/>
      <w:jc w:val="center"/>
    </w:pPr>
    <w:rPr>
      <w:i/>
      <w:iCs/>
      <w:color w:val="404040" w:themeColor="text1" w:themeTint="BF"/>
    </w:rPr>
  </w:style>
  <w:style w:type="character" w:customStyle="1" w:styleId="QuoteChar">
    <w:name w:val="Quote Char"/>
    <w:basedOn w:val="DefaultParagraphFont"/>
    <w:link w:val="Quote"/>
    <w:uiPriority w:val="29"/>
    <w:rsid w:val="00A36701"/>
    <w:rPr>
      <w:i/>
      <w:iCs/>
      <w:color w:val="404040" w:themeColor="text1" w:themeTint="BF"/>
    </w:rPr>
  </w:style>
  <w:style w:type="paragraph" w:styleId="ListParagraph">
    <w:name w:val="List Paragraph"/>
    <w:basedOn w:val="Normal"/>
    <w:uiPriority w:val="34"/>
    <w:qFormat/>
    <w:rsid w:val="00A36701"/>
    <w:pPr>
      <w:ind w:left="720"/>
      <w:contextualSpacing/>
    </w:pPr>
  </w:style>
  <w:style w:type="character" w:styleId="IntenseEmphasis">
    <w:name w:val="Intense Emphasis"/>
    <w:basedOn w:val="DefaultParagraphFont"/>
    <w:uiPriority w:val="21"/>
    <w:qFormat/>
    <w:rsid w:val="00A36701"/>
    <w:rPr>
      <w:i/>
      <w:iCs/>
      <w:color w:val="0F4761" w:themeColor="accent1" w:themeShade="BF"/>
    </w:rPr>
  </w:style>
  <w:style w:type="paragraph" w:styleId="IntenseQuote">
    <w:name w:val="Intense Quote"/>
    <w:basedOn w:val="Normal"/>
    <w:next w:val="Normal"/>
    <w:link w:val="IntenseQuoteChar"/>
    <w:uiPriority w:val="30"/>
    <w:qFormat/>
    <w:rsid w:val="00A367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701"/>
    <w:rPr>
      <w:i/>
      <w:iCs/>
      <w:color w:val="0F4761" w:themeColor="accent1" w:themeShade="BF"/>
    </w:rPr>
  </w:style>
  <w:style w:type="character" w:styleId="IntenseReference">
    <w:name w:val="Intense Reference"/>
    <w:basedOn w:val="DefaultParagraphFont"/>
    <w:uiPriority w:val="32"/>
    <w:qFormat/>
    <w:rsid w:val="00A36701"/>
    <w:rPr>
      <w:b/>
      <w:bCs/>
      <w:smallCaps/>
      <w:color w:val="0F4761" w:themeColor="accent1" w:themeShade="BF"/>
      <w:spacing w:val="5"/>
    </w:rPr>
  </w:style>
  <w:style w:type="table" w:styleId="TableGrid">
    <w:name w:val="Table Grid"/>
    <w:basedOn w:val="TableNormal"/>
    <w:uiPriority w:val="39"/>
    <w:rsid w:val="00830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84549"/>
    <w:rPr>
      <w:sz w:val="16"/>
      <w:szCs w:val="16"/>
    </w:rPr>
  </w:style>
  <w:style w:type="paragraph" w:styleId="CommentText">
    <w:name w:val="annotation text"/>
    <w:basedOn w:val="Normal"/>
    <w:link w:val="CommentTextChar"/>
    <w:uiPriority w:val="99"/>
    <w:unhideWhenUsed/>
    <w:rsid w:val="00A84549"/>
    <w:pPr>
      <w:spacing w:line="240" w:lineRule="auto"/>
    </w:pPr>
    <w:rPr>
      <w:sz w:val="20"/>
      <w:szCs w:val="20"/>
    </w:rPr>
  </w:style>
  <w:style w:type="character" w:customStyle="1" w:styleId="CommentTextChar">
    <w:name w:val="Comment Text Char"/>
    <w:basedOn w:val="DefaultParagraphFont"/>
    <w:link w:val="CommentText"/>
    <w:uiPriority w:val="99"/>
    <w:rsid w:val="00A84549"/>
    <w:rPr>
      <w:sz w:val="20"/>
      <w:szCs w:val="20"/>
    </w:rPr>
  </w:style>
  <w:style w:type="paragraph" w:styleId="CommentSubject">
    <w:name w:val="annotation subject"/>
    <w:basedOn w:val="CommentText"/>
    <w:next w:val="CommentText"/>
    <w:link w:val="CommentSubjectChar"/>
    <w:uiPriority w:val="99"/>
    <w:semiHidden/>
    <w:unhideWhenUsed/>
    <w:rsid w:val="00A84549"/>
    <w:rPr>
      <w:b/>
      <w:bCs/>
    </w:rPr>
  </w:style>
  <w:style w:type="character" w:customStyle="1" w:styleId="CommentSubjectChar">
    <w:name w:val="Comment Subject Char"/>
    <w:basedOn w:val="CommentTextChar"/>
    <w:link w:val="CommentSubject"/>
    <w:uiPriority w:val="99"/>
    <w:semiHidden/>
    <w:rsid w:val="00A84549"/>
    <w:rPr>
      <w:b/>
      <w:bCs/>
      <w:sz w:val="20"/>
      <w:szCs w:val="20"/>
    </w:rPr>
  </w:style>
  <w:style w:type="paragraph" w:styleId="Revision">
    <w:name w:val="Revision"/>
    <w:hidden/>
    <w:uiPriority w:val="99"/>
    <w:semiHidden/>
    <w:rsid w:val="000879F0"/>
    <w:pPr>
      <w:spacing w:after="0" w:line="240" w:lineRule="auto"/>
    </w:pPr>
  </w:style>
  <w:style w:type="character" w:styleId="Hyperlink">
    <w:name w:val="Hyperlink"/>
    <w:basedOn w:val="DefaultParagraphFont"/>
    <w:uiPriority w:val="99"/>
    <w:unhideWhenUsed/>
    <w:rsid w:val="00444AE4"/>
    <w:rPr>
      <w:color w:val="467886" w:themeColor="hyperlink"/>
      <w:u w:val="single"/>
    </w:rPr>
  </w:style>
  <w:style w:type="character" w:styleId="UnresolvedMention">
    <w:name w:val="Unresolved Mention"/>
    <w:basedOn w:val="DefaultParagraphFont"/>
    <w:uiPriority w:val="99"/>
    <w:semiHidden/>
    <w:unhideWhenUsed/>
    <w:rsid w:val="00444AE4"/>
    <w:rPr>
      <w:color w:val="605E5C"/>
      <w:shd w:val="clear" w:color="auto" w:fill="E1DFDD"/>
    </w:rPr>
  </w:style>
  <w:style w:type="character" w:styleId="FollowedHyperlink">
    <w:name w:val="FollowedHyperlink"/>
    <w:basedOn w:val="DefaultParagraphFont"/>
    <w:uiPriority w:val="99"/>
    <w:semiHidden/>
    <w:unhideWhenUsed/>
    <w:rsid w:val="00693E6F"/>
    <w:rPr>
      <w:color w:val="96607D" w:themeColor="followedHyperlink"/>
      <w:u w:val="single"/>
    </w:rPr>
  </w:style>
  <w:style w:type="paragraph" w:styleId="Header">
    <w:name w:val="header"/>
    <w:basedOn w:val="Normal"/>
    <w:link w:val="HeaderChar"/>
    <w:uiPriority w:val="99"/>
    <w:unhideWhenUsed/>
    <w:rsid w:val="008F3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3E0D"/>
  </w:style>
  <w:style w:type="paragraph" w:styleId="Footer">
    <w:name w:val="footer"/>
    <w:basedOn w:val="Normal"/>
    <w:link w:val="FooterChar"/>
    <w:uiPriority w:val="99"/>
    <w:unhideWhenUsed/>
    <w:rsid w:val="008F3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3E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265246">
      <w:bodyDiv w:val="1"/>
      <w:marLeft w:val="0"/>
      <w:marRight w:val="0"/>
      <w:marTop w:val="0"/>
      <w:marBottom w:val="0"/>
      <w:divBdr>
        <w:top w:val="none" w:sz="0" w:space="0" w:color="auto"/>
        <w:left w:val="none" w:sz="0" w:space="0" w:color="auto"/>
        <w:bottom w:val="none" w:sz="0" w:space="0" w:color="auto"/>
        <w:right w:val="none" w:sz="0" w:space="0" w:color="auto"/>
      </w:divBdr>
    </w:div>
    <w:div w:id="1362197636">
      <w:bodyDiv w:val="1"/>
      <w:marLeft w:val="0"/>
      <w:marRight w:val="0"/>
      <w:marTop w:val="0"/>
      <w:marBottom w:val="0"/>
      <w:divBdr>
        <w:top w:val="none" w:sz="0" w:space="0" w:color="auto"/>
        <w:left w:val="none" w:sz="0" w:space="0" w:color="auto"/>
        <w:bottom w:val="none" w:sz="0" w:space="0" w:color="auto"/>
        <w:right w:val="none" w:sz="0" w:space="0" w:color="auto"/>
      </w:divBdr>
    </w:div>
    <w:div w:id="1843426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r.ms.gov/sites/default/files/Business/EPTE%20Revised%20FAQ%209-11-23.pdf"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50AF106CFE24BAC8773B2B757A9FA" ma:contentTypeVersion="12" ma:contentTypeDescription="Create a new document." ma:contentTypeScope="" ma:versionID="06bc45f01820db0be6f1092953102259">
  <xsd:schema xmlns:xsd="http://www.w3.org/2001/XMLSchema" xmlns:xs="http://www.w3.org/2001/XMLSchema" xmlns:p="http://schemas.microsoft.com/office/2006/metadata/properties" xmlns:ns2="5b05daf2-26a9-46ae-8d61-b5a1924f238e" xmlns:ns3="05a28347-371f-42b1-9deb-154ef479ba02" targetNamespace="http://schemas.microsoft.com/office/2006/metadata/properties" ma:root="true" ma:fieldsID="e8d7f3cf49590f3ef314e6dba5e06da7" ns2:_="" ns3:_="">
    <xsd:import namespace="5b05daf2-26a9-46ae-8d61-b5a1924f238e"/>
    <xsd:import namespace="05a28347-371f-42b1-9deb-154ef479ba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daf2-26a9-46ae-8d61-b5a1924f2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b787309-dbec-4e2a-8483-aac14523d8b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a28347-371f-42b1-9deb-154ef479ba0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36dc83-5307-43f4-954e-70aa108167a8}" ma:internalName="TaxCatchAll" ma:showField="CatchAllData" ma:web="05a28347-371f-42b1-9deb-154ef479ba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05daf2-26a9-46ae-8d61-b5a1924f238e">
      <Terms xmlns="http://schemas.microsoft.com/office/infopath/2007/PartnerControls"/>
    </lcf76f155ced4ddcb4097134ff3c332f>
    <TaxCatchAll xmlns="05a28347-371f-42b1-9deb-154ef479ba0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26526B-9FB8-474D-8F2D-930153DB6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daf2-26a9-46ae-8d61-b5a1924f238e"/>
    <ds:schemaRef ds:uri="05a28347-371f-42b1-9deb-154ef479b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EA659D-CBCF-4E16-8DCC-BBAA7F25A04D}">
  <ds:schemaRefs>
    <ds:schemaRef ds:uri="http://schemas.microsoft.com/office/2006/metadata/properties"/>
    <ds:schemaRef ds:uri="http://schemas.microsoft.com/office/infopath/2007/PartnerControls"/>
    <ds:schemaRef ds:uri="5b05daf2-26a9-46ae-8d61-b5a1924f238e"/>
    <ds:schemaRef ds:uri="05a28347-371f-42b1-9deb-154ef479ba02"/>
  </ds:schemaRefs>
</ds:datastoreItem>
</file>

<file path=customXml/itemProps3.xml><?xml version="1.0" encoding="utf-8"?>
<ds:datastoreItem xmlns:ds="http://schemas.openxmlformats.org/officeDocument/2006/customXml" ds:itemID="{2C10A521-D36E-4E1F-BF8F-8EBC34C28F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GranthamPoole PLLC</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Hatchett</dc:creator>
  <cp:keywords/>
  <dc:description/>
  <cp:lastModifiedBy>Courtney Buzek</cp:lastModifiedBy>
  <cp:revision>13</cp:revision>
  <cp:lastPrinted>2026-04-07T13:40:00Z</cp:lastPrinted>
  <dcterms:created xsi:type="dcterms:W3CDTF">2024-12-05T23:06:00Z</dcterms:created>
  <dcterms:modified xsi:type="dcterms:W3CDTF">2026-04-07T14:40:00Z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6a837c54405e348ae650a6a65d787168e3986369030d148f793b347b2c7e2149</vt:lpwstr>
  </property>
  <property fmtid="{D5CDD505-2E9C-101B-9397-08002B2CF9AE}" pid="3" name="ContentTypeId">
    <vt:lpwstr>0x01010015150AF106CFE24BAC8773B2B757A9FA</vt:lpwstr>
  </property>
  <property fmtid="{D5CDD505-2E9C-101B-9397-08002B2CF9AE}" pid="4" name="Order">
    <vt:r8>4000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